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B5634" w14:textId="77777777" w:rsidR="00A76268" w:rsidRDefault="00A76268" w:rsidP="00A76268">
      <w:pPr>
        <w:jc w:val="right"/>
        <w:rPr>
          <w:sz w:val="32"/>
          <w:szCs w:val="32"/>
        </w:rPr>
      </w:pPr>
    </w:p>
    <w:p w14:paraId="67772996" w14:textId="77777777" w:rsidR="00A76268" w:rsidRDefault="00A76268" w:rsidP="00A76268">
      <w:pPr>
        <w:jc w:val="right"/>
        <w:rPr>
          <w:sz w:val="32"/>
          <w:szCs w:val="32"/>
        </w:rPr>
      </w:pPr>
    </w:p>
    <w:p w14:paraId="041E2DD4" w14:textId="77777777" w:rsidR="00A76268" w:rsidRDefault="00A76268" w:rsidP="00A76268">
      <w:pPr>
        <w:jc w:val="right"/>
        <w:rPr>
          <w:sz w:val="32"/>
          <w:szCs w:val="32"/>
        </w:rPr>
      </w:pPr>
    </w:p>
    <w:p w14:paraId="29AB6454" w14:textId="77777777" w:rsidR="00A76268" w:rsidRPr="002766B4" w:rsidRDefault="00A76268" w:rsidP="00A76268">
      <w:pPr>
        <w:jc w:val="right"/>
        <w:rPr>
          <w:color w:val="1F3864" w:themeColor="accent5" w:themeShade="80"/>
          <w:sz w:val="32"/>
          <w:szCs w:val="32"/>
        </w:rPr>
      </w:pPr>
    </w:p>
    <w:p w14:paraId="11D45CFB" w14:textId="77777777" w:rsidR="00A76268" w:rsidRPr="002766B4" w:rsidRDefault="00A76268" w:rsidP="00A76268">
      <w:pPr>
        <w:jc w:val="right"/>
        <w:rPr>
          <w:color w:val="1F3864" w:themeColor="accent5" w:themeShade="80"/>
          <w:sz w:val="32"/>
          <w:szCs w:val="32"/>
        </w:rPr>
      </w:pPr>
    </w:p>
    <w:p w14:paraId="59139141" w14:textId="2F34A616" w:rsidR="00202787" w:rsidRPr="002766B4" w:rsidRDefault="00A76268" w:rsidP="000B7423">
      <w:pPr>
        <w:rPr>
          <w:b/>
          <w:bCs/>
          <w:color w:val="1F3864" w:themeColor="accent5" w:themeShade="80"/>
          <w:sz w:val="36"/>
          <w:szCs w:val="36"/>
        </w:rPr>
      </w:pPr>
      <w:r w:rsidRPr="002766B4">
        <w:rPr>
          <w:b/>
          <w:bCs/>
          <w:color w:val="1F3864" w:themeColor="accent5" w:themeShade="80"/>
          <w:sz w:val="36"/>
          <w:szCs w:val="36"/>
        </w:rPr>
        <w:t xml:space="preserve">PLAN DE TRANSICIÓN </w:t>
      </w:r>
    </w:p>
    <w:p w14:paraId="409FA7E4" w14:textId="4A2FB3F6" w:rsidR="00A76268" w:rsidRPr="002766B4" w:rsidRDefault="007869CD" w:rsidP="000B7423">
      <w:pPr>
        <w:rPr>
          <w:b/>
          <w:bCs/>
          <w:color w:val="1F3864" w:themeColor="accent5" w:themeShade="80"/>
          <w:sz w:val="36"/>
          <w:szCs w:val="36"/>
        </w:rPr>
      </w:pPr>
      <w:r>
        <w:rPr>
          <w:b/>
          <w:bCs/>
          <w:color w:val="1F3864" w:themeColor="accent5" w:themeShade="80"/>
          <w:sz w:val="36"/>
          <w:szCs w:val="36"/>
        </w:rPr>
        <w:t>PROGRAMA DE TRANSPARENCIA Y ÉTICA PÚBLICA</w:t>
      </w:r>
      <w:r w:rsidR="00A76268" w:rsidRPr="002766B4">
        <w:rPr>
          <w:b/>
          <w:bCs/>
          <w:color w:val="1F3864" w:themeColor="accent5" w:themeShade="80"/>
          <w:sz w:val="36"/>
          <w:szCs w:val="36"/>
        </w:rPr>
        <w:t xml:space="preserve"> PUBLICA – PTEP</w:t>
      </w:r>
    </w:p>
    <w:p w14:paraId="15A9BED5" w14:textId="7DA44467" w:rsidR="00A76268" w:rsidRPr="002766B4" w:rsidRDefault="00A76268" w:rsidP="000B7423">
      <w:pPr>
        <w:rPr>
          <w:b/>
          <w:bCs/>
          <w:color w:val="1F3864" w:themeColor="accent5" w:themeShade="80"/>
          <w:sz w:val="36"/>
          <w:szCs w:val="36"/>
        </w:rPr>
      </w:pPr>
      <w:r w:rsidRPr="002766B4">
        <w:rPr>
          <w:b/>
          <w:bCs/>
          <w:color w:val="1F3864" w:themeColor="accent5" w:themeShade="80"/>
          <w:sz w:val="36"/>
          <w:szCs w:val="36"/>
        </w:rPr>
        <w:t>2025</w:t>
      </w:r>
    </w:p>
    <w:p w14:paraId="0AAAB5C6" w14:textId="77777777" w:rsidR="00A76268" w:rsidRDefault="00A76268" w:rsidP="00CE5A18"/>
    <w:p w14:paraId="6A1CAA95" w14:textId="77777777" w:rsidR="000B7423" w:rsidRDefault="000B7423" w:rsidP="00CE5A18"/>
    <w:p w14:paraId="01DB558D" w14:textId="77777777" w:rsidR="000B7423" w:rsidRDefault="000B7423" w:rsidP="00CE5A18"/>
    <w:p w14:paraId="6652402D" w14:textId="7DCC5D44" w:rsidR="005D4921" w:rsidRPr="005D4921" w:rsidRDefault="005D4921" w:rsidP="00AF14FD">
      <w:pPr>
        <w:jc w:val="both"/>
        <w:rPr>
          <w:b/>
          <w:bCs/>
          <w:color w:val="1F4E79" w:themeColor="accent1" w:themeShade="80"/>
        </w:rPr>
      </w:pPr>
      <w:r w:rsidRPr="005D4921">
        <w:rPr>
          <w:b/>
          <w:bCs/>
          <w:color w:val="1F4E79" w:themeColor="accent1" w:themeShade="80"/>
        </w:rPr>
        <w:t>Documento dispuesto para comentarios</w:t>
      </w:r>
      <w:r w:rsidR="000B7423" w:rsidRPr="000B7423">
        <w:rPr>
          <w:b/>
          <w:bCs/>
          <w:color w:val="1F4E79" w:themeColor="accent1" w:themeShade="80"/>
        </w:rPr>
        <w:t>, recomendaciones y sugerencias</w:t>
      </w:r>
      <w:r w:rsidRPr="005D4921">
        <w:rPr>
          <w:b/>
          <w:bCs/>
          <w:color w:val="1F4E79" w:themeColor="accent1" w:themeShade="80"/>
        </w:rPr>
        <w:t xml:space="preserve"> de la ciudadanía</w:t>
      </w:r>
    </w:p>
    <w:p w14:paraId="6685053B" w14:textId="75AEDCED" w:rsidR="009D251A" w:rsidRDefault="005D4921" w:rsidP="00AF14FD">
      <w:pPr>
        <w:jc w:val="both"/>
      </w:pPr>
      <w:r w:rsidRPr="005D4921">
        <w:t>Este document</w:t>
      </w:r>
      <w:r w:rsidR="000B7423">
        <w:t>o</w:t>
      </w:r>
      <w:r w:rsidRPr="005D4921">
        <w:t xml:space="preserve"> se</w:t>
      </w:r>
      <w:r w:rsidR="000B7423">
        <w:t xml:space="preserve">rá publicado en la sede electrónica </w:t>
      </w:r>
      <w:r w:rsidRPr="005D4921">
        <w:t>para consulta de la ciudadanía con el fin de recibir las</w:t>
      </w:r>
      <w:r w:rsidR="000B7423">
        <w:t xml:space="preserve"> </w:t>
      </w:r>
      <w:r w:rsidRPr="005D4921">
        <w:t>recomendaciones, sugerencias y retroalimentación por parte de los grupos de interés del</w:t>
      </w:r>
      <w:r>
        <w:t xml:space="preserve"> Municipio de Itagüí.</w:t>
      </w:r>
    </w:p>
    <w:p w14:paraId="3922F054" w14:textId="77777777" w:rsidR="000B7423" w:rsidRDefault="000B7423" w:rsidP="000B7423"/>
    <w:p w14:paraId="3C692B02" w14:textId="77777777" w:rsidR="000B7423" w:rsidRDefault="000B7423" w:rsidP="00AF14FD">
      <w:pPr>
        <w:jc w:val="both"/>
      </w:pPr>
    </w:p>
    <w:p w14:paraId="08277CA6" w14:textId="77777777" w:rsidR="000B7423" w:rsidRDefault="000B7423" w:rsidP="00AF14FD">
      <w:pPr>
        <w:jc w:val="both"/>
      </w:pPr>
    </w:p>
    <w:p w14:paraId="703DA43F" w14:textId="7617847D" w:rsidR="000B7423" w:rsidRPr="000B7423" w:rsidRDefault="000B7423" w:rsidP="00AF14FD">
      <w:pPr>
        <w:jc w:val="both"/>
        <w:rPr>
          <w:b/>
          <w:bCs/>
        </w:rPr>
      </w:pPr>
      <w:r w:rsidRPr="000B7423">
        <w:rPr>
          <w:b/>
          <w:bCs/>
        </w:rPr>
        <w:t>Departamento Administrativo de Planeación</w:t>
      </w:r>
    </w:p>
    <w:p w14:paraId="22A53D6C" w14:textId="4EC3DA25" w:rsidR="000B7423" w:rsidRDefault="000B7423" w:rsidP="00AF14FD">
      <w:pPr>
        <w:jc w:val="both"/>
      </w:pPr>
      <w:hyperlink r:id="rId8" w:history="1">
        <w:r w:rsidRPr="005C6767">
          <w:rPr>
            <w:rStyle w:val="Hipervnculo"/>
          </w:rPr>
          <w:t>plananticorrupcion</w:t>
        </w:r>
        <w:r w:rsidRPr="005C6767">
          <w:rPr>
            <w:rStyle w:val="Hipervnculo"/>
            <w:rFonts w:cstheme="minorHAnsi"/>
          </w:rPr>
          <w:t>@</w:t>
        </w:r>
        <w:r w:rsidRPr="005C6767">
          <w:rPr>
            <w:rStyle w:val="Hipervnculo"/>
          </w:rPr>
          <w:t>itagui.gov.co</w:t>
        </w:r>
      </w:hyperlink>
    </w:p>
    <w:p w14:paraId="67A9154F" w14:textId="7D22BBCD" w:rsidR="000B7423" w:rsidRDefault="000B7423" w:rsidP="00AF14FD">
      <w:pPr>
        <w:jc w:val="both"/>
      </w:pPr>
      <w:r>
        <w:t>Enero 2025.</w:t>
      </w:r>
      <w:r>
        <w:br w:type="page"/>
      </w:r>
    </w:p>
    <w:p w14:paraId="77B11AAB" w14:textId="599401CC" w:rsidR="00E279F0" w:rsidRPr="002766B4" w:rsidRDefault="00D150EA" w:rsidP="000B7423">
      <w:pPr>
        <w:rPr>
          <w:b/>
          <w:bCs/>
          <w:color w:val="1F3864" w:themeColor="accent5" w:themeShade="80"/>
          <w:sz w:val="24"/>
          <w:szCs w:val="24"/>
        </w:rPr>
      </w:pPr>
      <w:r w:rsidRPr="002766B4">
        <w:rPr>
          <w:b/>
          <w:bCs/>
          <w:color w:val="1F3864" w:themeColor="accent5" w:themeShade="80"/>
          <w:sz w:val="24"/>
          <w:szCs w:val="24"/>
        </w:rPr>
        <w:lastRenderedPageBreak/>
        <w:t>CONTEXTO.</w:t>
      </w:r>
    </w:p>
    <w:p w14:paraId="18F943CB" w14:textId="7EE6D86C" w:rsidR="00E279F0" w:rsidRPr="0012292D" w:rsidRDefault="0012292D" w:rsidP="004C1C68">
      <w:pPr>
        <w:jc w:val="both"/>
      </w:pPr>
      <w:r w:rsidRPr="0012292D">
        <w:t>La Ley 2195 de 2022, por medio de la cual se adoptan medidas en materia de transparencia, prevención y lucha contra la corrupción, establece en su artículo 31 la necesidad de que las entidades públicas formulen los Programas de Transparencia y Ética pública como herramienta para fortalecer las acciones preventivas en la lucha contra la corrupción.</w:t>
      </w:r>
    </w:p>
    <w:p w14:paraId="4484BD74" w14:textId="6854F9FE" w:rsidR="0012292D" w:rsidRPr="0012292D" w:rsidRDefault="0012292D" w:rsidP="004C1C68">
      <w:pPr>
        <w:jc w:val="both"/>
      </w:pPr>
      <w:r w:rsidRPr="0012292D">
        <w:t xml:space="preserve">El Decreto 1122 del 30 agosto de 2024 </w:t>
      </w:r>
      <w:r w:rsidR="002766B4">
        <w:t xml:space="preserve">de la </w:t>
      </w:r>
      <w:r w:rsidRPr="0012292D">
        <w:t xml:space="preserve">Presidencia de la República, que reglamenta el artículo 73 de la Ley 1474 de 2011, modificado por el artículo 31 de la Ley 2195 de 2022, en lo relacionado con los Programas de Transparencia y Ética Pública, dispone el </w:t>
      </w:r>
      <w:r w:rsidR="002766B4">
        <w:t>á</w:t>
      </w:r>
      <w:r w:rsidRPr="0012292D">
        <w:t xml:space="preserve">mbito de aplicación, </w:t>
      </w:r>
      <w:r w:rsidR="002766B4">
        <w:t>m</w:t>
      </w:r>
      <w:r w:rsidRPr="0012292D">
        <w:t xml:space="preserve">etodología y estructura, </w:t>
      </w:r>
      <w:r w:rsidR="002766B4">
        <w:t>p</w:t>
      </w:r>
      <w:r w:rsidRPr="0012292D">
        <w:t xml:space="preserve">articipación de la Secretaría de Transparencia en la Política de Transparencia y Ética Pública, </w:t>
      </w:r>
      <w:r w:rsidR="002766B4">
        <w:t>p</w:t>
      </w:r>
      <w:r w:rsidRPr="0012292D">
        <w:t xml:space="preserve">ublicidad y el </w:t>
      </w:r>
      <w:r w:rsidR="00D150EA" w:rsidRPr="0012292D">
        <w:t>artículo</w:t>
      </w:r>
      <w:r w:rsidRPr="0012292D">
        <w:t xml:space="preserve"> </w:t>
      </w:r>
      <w:r w:rsidR="002766B4">
        <w:t>t</w:t>
      </w:r>
      <w:r w:rsidRPr="0012292D">
        <w:t xml:space="preserve">ransitorio del </w:t>
      </w:r>
      <w:r w:rsidR="007869CD">
        <w:t>Programa de Transparencia y Ética Pública</w:t>
      </w:r>
      <w:r w:rsidR="002766B4">
        <w:t>.</w:t>
      </w:r>
    </w:p>
    <w:p w14:paraId="42B83122" w14:textId="1F077BBD" w:rsidR="00D150EA" w:rsidRDefault="0012292D" w:rsidP="004C1C68">
      <w:pPr>
        <w:jc w:val="both"/>
      </w:pPr>
      <w:r w:rsidRPr="0012292D">
        <w:t>De acuerdo con el artículo 9 de la ley 2195 de</w:t>
      </w:r>
      <w:r w:rsidR="002766B4">
        <w:t xml:space="preserve"> </w:t>
      </w:r>
      <w:r w:rsidRPr="0012292D">
        <w:t xml:space="preserve">2022, </w:t>
      </w:r>
      <w:r w:rsidRPr="00D150EA">
        <w:rPr>
          <w:i/>
          <w:iCs/>
        </w:rPr>
        <w:t>cada entidad realizará un Programa institucional de Transparencia y Ética Pública, el cual recogerá y fortalecerá las medidas anticorrupción que en la actualidad se presentan a través de los Planes Anticorrupción y de Atención a la Ciudadanía</w:t>
      </w:r>
      <w:r w:rsidRPr="0012292D">
        <w:t xml:space="preserve">. El tránsito del plan anticorrupción a Programas de Transparencia y Ética se comenzará a desplegar en el </w:t>
      </w:r>
      <w:r w:rsidR="00D150EA">
        <w:t>M</w:t>
      </w:r>
      <w:r w:rsidRPr="0012292D">
        <w:t xml:space="preserve">unicipio de Itagüí </w:t>
      </w:r>
      <w:r>
        <w:t xml:space="preserve">en el </w:t>
      </w:r>
      <w:r w:rsidR="00D150EA">
        <w:t xml:space="preserve">2025, para que </w:t>
      </w:r>
      <w:r w:rsidR="004C1C68">
        <w:t>así</w:t>
      </w:r>
      <w:r w:rsidR="00D150EA">
        <w:t xml:space="preserve"> en esta vigencia se construya </w:t>
      </w:r>
      <w:r w:rsidR="004C1C68">
        <w:t xml:space="preserve">el </w:t>
      </w:r>
      <w:r w:rsidR="007869CD">
        <w:t>Programa de Transparencia y Ética Pública</w:t>
      </w:r>
      <w:r w:rsidR="002766B4">
        <w:t xml:space="preserve"> y</w:t>
      </w:r>
      <w:r w:rsidR="004C1C68">
        <w:t xml:space="preserve"> se ponga a disposición de la </w:t>
      </w:r>
      <w:r w:rsidR="00D150EA" w:rsidRPr="005D4921">
        <w:t>ciudadanía con el fin de recibir las</w:t>
      </w:r>
      <w:r w:rsidR="004C1C68">
        <w:t xml:space="preserve"> </w:t>
      </w:r>
      <w:r w:rsidR="00D150EA" w:rsidRPr="005D4921">
        <w:t>recomendaciones, sugerencias y retroalimentación por parte de los grupos de interés del</w:t>
      </w:r>
      <w:r w:rsidR="00D150EA">
        <w:t xml:space="preserve"> Municipio de Itagüí</w:t>
      </w:r>
      <w:r w:rsidR="004C1C68">
        <w:t xml:space="preserve"> y se consolide para el cumplimento de este en los años 2025 – 2027.</w:t>
      </w:r>
    </w:p>
    <w:p w14:paraId="3F5BAF36" w14:textId="77777777" w:rsidR="00AF14FD" w:rsidRDefault="00AF14FD" w:rsidP="003E676F">
      <w:pPr>
        <w:jc w:val="both"/>
        <w:rPr>
          <w:b/>
          <w:bCs/>
          <w:color w:val="1F3864" w:themeColor="accent5" w:themeShade="80"/>
        </w:rPr>
      </w:pPr>
    </w:p>
    <w:p w14:paraId="5AE69565" w14:textId="77A9923A" w:rsidR="003E676F" w:rsidRPr="002766B4" w:rsidRDefault="002766B4" w:rsidP="003E676F">
      <w:pPr>
        <w:jc w:val="both"/>
        <w:rPr>
          <w:b/>
          <w:bCs/>
          <w:color w:val="1F3864" w:themeColor="accent5" w:themeShade="80"/>
        </w:rPr>
      </w:pPr>
      <w:r w:rsidRPr="002766B4">
        <w:rPr>
          <w:b/>
          <w:bCs/>
          <w:color w:val="1F3864" w:themeColor="accent5" w:themeShade="80"/>
        </w:rPr>
        <w:t>MARCO NORMATIVO PARA EL DISEÑO DE LOS PROGRAMAS:</w:t>
      </w:r>
    </w:p>
    <w:p w14:paraId="648465D6" w14:textId="02770906" w:rsidR="003E676F" w:rsidRDefault="003E676F" w:rsidP="00946118">
      <w:pPr>
        <w:pStyle w:val="Prrafodelista"/>
        <w:numPr>
          <w:ilvl w:val="0"/>
          <w:numId w:val="15"/>
        </w:numPr>
        <w:jc w:val="both"/>
      </w:pPr>
      <w:r w:rsidRPr="00946118">
        <w:rPr>
          <w:b/>
          <w:bCs/>
        </w:rPr>
        <w:t>Ley 1474 de 2011</w:t>
      </w:r>
      <w:r>
        <w:t xml:space="preserve"> (modificada por la ley 2195 del 2022): Por la cual se dictan normas orientadas a fortalecer los mecanismos de prevención, investigación y sanción de actos de corrupción y la efectividad del control de la gestión pública.</w:t>
      </w:r>
    </w:p>
    <w:p w14:paraId="112F37C6" w14:textId="5BB782D4" w:rsidR="003E676F" w:rsidRDefault="003E676F" w:rsidP="00946118">
      <w:pPr>
        <w:pStyle w:val="Prrafodelista"/>
        <w:numPr>
          <w:ilvl w:val="0"/>
          <w:numId w:val="15"/>
        </w:numPr>
        <w:jc w:val="both"/>
      </w:pPr>
      <w:r w:rsidRPr="00946118">
        <w:rPr>
          <w:b/>
          <w:bCs/>
        </w:rPr>
        <w:t>Ley 1712 de 2014</w:t>
      </w:r>
      <w:r>
        <w:t xml:space="preserve"> (modificada por la ley 2195 del 2022, reglamentada por el Decreto 103 de</w:t>
      </w:r>
      <w:r w:rsidR="00946118">
        <w:t xml:space="preserve"> </w:t>
      </w:r>
      <w:r>
        <w:t>2015): Por</w:t>
      </w:r>
      <w:r w:rsidR="00946118">
        <w:t xml:space="preserve"> </w:t>
      </w:r>
      <w:r>
        <w:t>medio de la cual se crea la Ley de Transparencia y del Derecho de Acceso a la Información</w:t>
      </w:r>
      <w:r w:rsidR="00946118">
        <w:t xml:space="preserve"> </w:t>
      </w:r>
      <w:r>
        <w:t>Pública Nacional</w:t>
      </w:r>
      <w:r w:rsidR="00946118">
        <w:t xml:space="preserve"> </w:t>
      </w:r>
      <w:r>
        <w:t>y se dictan otras disposiciones.</w:t>
      </w:r>
    </w:p>
    <w:p w14:paraId="26C0D406" w14:textId="1A0DAB62" w:rsidR="003E676F" w:rsidRDefault="003E676F" w:rsidP="00946118">
      <w:pPr>
        <w:pStyle w:val="Prrafodelista"/>
        <w:numPr>
          <w:ilvl w:val="0"/>
          <w:numId w:val="15"/>
        </w:numPr>
        <w:jc w:val="both"/>
      </w:pPr>
      <w:r w:rsidRPr="00946118">
        <w:rPr>
          <w:b/>
          <w:bCs/>
        </w:rPr>
        <w:t>Ley 1757 de 2015:</w:t>
      </w:r>
      <w:r>
        <w:t xml:space="preserve"> Por la cual se dictan disposiciones en materia de promoción y protección del</w:t>
      </w:r>
      <w:r w:rsidR="00946118">
        <w:t xml:space="preserve"> </w:t>
      </w:r>
      <w:r>
        <w:t>derecho a la participación democrática.</w:t>
      </w:r>
    </w:p>
    <w:p w14:paraId="48CC4B1A" w14:textId="1A863F23" w:rsidR="003E676F" w:rsidRDefault="003E676F" w:rsidP="00946118">
      <w:pPr>
        <w:pStyle w:val="Prrafodelista"/>
        <w:numPr>
          <w:ilvl w:val="0"/>
          <w:numId w:val="15"/>
        </w:numPr>
        <w:jc w:val="both"/>
      </w:pPr>
      <w:r w:rsidRPr="00946118">
        <w:rPr>
          <w:b/>
          <w:bCs/>
        </w:rPr>
        <w:t>Decreto</w:t>
      </w:r>
      <w:r>
        <w:t xml:space="preserve"> </w:t>
      </w:r>
      <w:r w:rsidRPr="00946118">
        <w:rPr>
          <w:b/>
          <w:bCs/>
        </w:rPr>
        <w:t>1499 de 2017:</w:t>
      </w:r>
      <w:r>
        <w:t xml:space="preserve"> Por medio del cual se modifica el Decreto 1083 de 2015, Decreto</w:t>
      </w:r>
      <w:r w:rsidR="00946118">
        <w:t xml:space="preserve"> </w:t>
      </w:r>
      <w:r>
        <w:t>Único Reglamentario del Sector Función Pública, en lo relacionado con el Sistema de Gestión</w:t>
      </w:r>
      <w:r w:rsidR="00946118">
        <w:t xml:space="preserve"> </w:t>
      </w:r>
      <w:r>
        <w:t>establecido en el artículo 133 de la Ley 1753 de 2015.</w:t>
      </w:r>
    </w:p>
    <w:p w14:paraId="533B113A" w14:textId="0EA18A14" w:rsidR="003E676F" w:rsidRDefault="003E676F" w:rsidP="003E676F">
      <w:pPr>
        <w:pStyle w:val="Prrafodelista"/>
        <w:numPr>
          <w:ilvl w:val="0"/>
          <w:numId w:val="15"/>
        </w:numPr>
        <w:jc w:val="both"/>
      </w:pPr>
      <w:r w:rsidRPr="00946118">
        <w:rPr>
          <w:b/>
          <w:bCs/>
        </w:rPr>
        <w:t>Ley 2013 de 2019:</w:t>
      </w:r>
      <w:r>
        <w:t xml:space="preserve"> Por medio del cual se busca garantizar el cumplimiento de los principios</w:t>
      </w:r>
      <w:r w:rsidR="00946118">
        <w:t xml:space="preserve"> </w:t>
      </w:r>
      <w:r>
        <w:t>de transparencia y publicidad mediante la publicación de las declaraciones de bienes, renta y el</w:t>
      </w:r>
      <w:r w:rsidR="00946118">
        <w:t xml:space="preserve"> </w:t>
      </w:r>
      <w:r>
        <w:t>registro de los conflictos de interés.</w:t>
      </w:r>
    </w:p>
    <w:p w14:paraId="60CD2EA8" w14:textId="77777777" w:rsidR="002766B4" w:rsidRDefault="00946118" w:rsidP="002766B4">
      <w:pPr>
        <w:pStyle w:val="Prrafodelista"/>
        <w:numPr>
          <w:ilvl w:val="0"/>
          <w:numId w:val="15"/>
        </w:numPr>
        <w:jc w:val="both"/>
      </w:pPr>
      <w:r w:rsidRPr="00946118">
        <w:rPr>
          <w:b/>
          <w:bCs/>
        </w:rPr>
        <w:lastRenderedPageBreak/>
        <w:t>Ley 2016 de 2020:</w:t>
      </w:r>
      <w:r>
        <w:t xml:space="preserve"> Por la cual se adopta el Código de integridad del Servicio Público Colombiano</w:t>
      </w:r>
      <w:r w:rsidR="002766B4">
        <w:t xml:space="preserve"> </w:t>
      </w:r>
      <w:r>
        <w:t>y se dictan otras disposiciones.</w:t>
      </w:r>
    </w:p>
    <w:p w14:paraId="486DFD4F" w14:textId="486EE17C" w:rsidR="00946118" w:rsidRDefault="00946118" w:rsidP="002766B4">
      <w:pPr>
        <w:pStyle w:val="Prrafodelista"/>
        <w:numPr>
          <w:ilvl w:val="0"/>
          <w:numId w:val="15"/>
        </w:numPr>
        <w:jc w:val="both"/>
      </w:pPr>
      <w:r w:rsidRPr="002766B4">
        <w:rPr>
          <w:b/>
          <w:bCs/>
        </w:rPr>
        <w:t>Conpes 4070 de 2021:</w:t>
      </w:r>
      <w:r>
        <w:t xml:space="preserve"> Lineamientos de política para la implementación de un modelo de Estado Abierto.</w:t>
      </w:r>
    </w:p>
    <w:p w14:paraId="71024473" w14:textId="40761B32" w:rsidR="00946118" w:rsidRDefault="00946118" w:rsidP="00946118">
      <w:pPr>
        <w:pStyle w:val="Prrafodelista"/>
        <w:numPr>
          <w:ilvl w:val="0"/>
          <w:numId w:val="15"/>
        </w:numPr>
        <w:jc w:val="both"/>
      </w:pPr>
      <w:r w:rsidRPr="00946118">
        <w:rPr>
          <w:b/>
          <w:bCs/>
        </w:rPr>
        <w:t>Ley 2195 de 2022:</w:t>
      </w:r>
      <w:r>
        <w:t xml:space="preserve"> Por medio de la cual se adoptan medidas en materia de transparencia, prevención y lucha contra la corrupción y se dictan otras disposiciones.</w:t>
      </w:r>
    </w:p>
    <w:p w14:paraId="33EEBDED" w14:textId="2DCC6100" w:rsidR="00946118" w:rsidRDefault="00946118" w:rsidP="00946118">
      <w:pPr>
        <w:pStyle w:val="Prrafodelista"/>
        <w:numPr>
          <w:ilvl w:val="0"/>
          <w:numId w:val="15"/>
        </w:numPr>
        <w:jc w:val="both"/>
      </w:pPr>
      <w:r w:rsidRPr="00946118">
        <w:rPr>
          <w:b/>
          <w:bCs/>
        </w:rPr>
        <w:t>Decreto 189 de 2020:</w:t>
      </w:r>
      <w:r>
        <w:t xml:space="preserve"> Por el cual se expiden lineamientos generales sobre transparencia, integridad y medidas anticorrupción en las entidades y organismos del orden distrital y se dictan</w:t>
      </w:r>
    </w:p>
    <w:p w14:paraId="663AE034" w14:textId="47E22A67" w:rsidR="00946118" w:rsidRDefault="00946118" w:rsidP="00946118">
      <w:pPr>
        <w:pStyle w:val="Prrafodelista"/>
        <w:ind w:left="360"/>
        <w:jc w:val="both"/>
      </w:pPr>
      <w:r>
        <w:t xml:space="preserve"> otras disposiciones.</w:t>
      </w:r>
    </w:p>
    <w:p w14:paraId="4A818962" w14:textId="4013F685" w:rsidR="00946118" w:rsidRDefault="00946118" w:rsidP="00946118">
      <w:pPr>
        <w:pStyle w:val="Prrafodelista"/>
        <w:numPr>
          <w:ilvl w:val="0"/>
          <w:numId w:val="15"/>
        </w:numPr>
        <w:jc w:val="both"/>
        <w:rPr>
          <w:lang w:val="es-ES"/>
        </w:rPr>
      </w:pPr>
      <w:r w:rsidRPr="00946118">
        <w:rPr>
          <w:b/>
          <w:bCs/>
          <w:lang w:val="es-ES"/>
        </w:rPr>
        <w:t>Decreto 1122 de 2024;</w:t>
      </w:r>
      <w:r>
        <w:rPr>
          <w:lang w:val="es-ES"/>
        </w:rPr>
        <w:t xml:space="preserve"> </w:t>
      </w:r>
      <w:r w:rsidRPr="00946118">
        <w:rPr>
          <w:lang w:val="es-ES"/>
        </w:rPr>
        <w:t>Por el cual se reglamenta el artículo 73 de la Ley 1474 de 2011, modificado por el artículo 31 de la Ley 2195 de 2022, en lo relacionado con los</w:t>
      </w:r>
      <w:r>
        <w:rPr>
          <w:lang w:val="es-ES"/>
        </w:rPr>
        <w:t xml:space="preserve"> </w:t>
      </w:r>
      <w:r w:rsidRPr="00946118">
        <w:rPr>
          <w:lang w:val="es-ES"/>
        </w:rPr>
        <w:t>Programas de Transparencia y Ética Pública</w:t>
      </w:r>
      <w:r>
        <w:rPr>
          <w:lang w:val="es-ES"/>
        </w:rPr>
        <w:t>.</w:t>
      </w:r>
    </w:p>
    <w:p w14:paraId="58E52195" w14:textId="56459879" w:rsidR="00946118" w:rsidRDefault="00946118" w:rsidP="00946118">
      <w:pPr>
        <w:pStyle w:val="Prrafodelista"/>
        <w:numPr>
          <w:ilvl w:val="0"/>
          <w:numId w:val="15"/>
        </w:numPr>
        <w:jc w:val="both"/>
        <w:rPr>
          <w:lang w:val="es-ES"/>
        </w:rPr>
      </w:pPr>
      <w:r w:rsidRPr="00946118">
        <w:rPr>
          <w:b/>
          <w:bCs/>
          <w:lang w:val="es-ES"/>
        </w:rPr>
        <w:t>Acuerdo Nro. 03 del 06 de junio de 2024</w:t>
      </w:r>
      <w:r>
        <w:rPr>
          <w:lang w:val="es-ES"/>
        </w:rPr>
        <w:t xml:space="preserve"> </w:t>
      </w:r>
      <w:r w:rsidRPr="00946118">
        <w:rPr>
          <w:lang w:val="es-ES"/>
        </w:rPr>
        <w:t>Por medio del cual se adopta el Plan de Desarrollo "Itagüí Somos Todos 2024-2027"</w:t>
      </w:r>
    </w:p>
    <w:p w14:paraId="374B4A3A" w14:textId="77777777" w:rsidR="00D2696E" w:rsidRPr="00D2696E" w:rsidRDefault="00D2696E" w:rsidP="00D2696E">
      <w:pPr>
        <w:jc w:val="both"/>
        <w:rPr>
          <w:lang w:val="es-ES"/>
        </w:rPr>
      </w:pPr>
    </w:p>
    <w:p w14:paraId="38FB6611" w14:textId="5EFEC330" w:rsidR="00E279F0" w:rsidRPr="002766B4" w:rsidRDefault="00D2696E" w:rsidP="004C1C68">
      <w:pPr>
        <w:jc w:val="both"/>
        <w:rPr>
          <w:b/>
          <w:bCs/>
          <w:color w:val="1F3864" w:themeColor="accent5" w:themeShade="80"/>
        </w:rPr>
      </w:pPr>
      <w:r w:rsidRPr="002766B4">
        <w:rPr>
          <w:b/>
          <w:bCs/>
          <w:color w:val="1F3864" w:themeColor="accent5" w:themeShade="80"/>
        </w:rPr>
        <w:t>DEFINICIONES GENERALES</w:t>
      </w:r>
    </w:p>
    <w:p w14:paraId="008F7BD7" w14:textId="550BAABB" w:rsidR="00D2696E" w:rsidRPr="00D2696E" w:rsidRDefault="00D2696E" w:rsidP="00D74346">
      <w:pPr>
        <w:pStyle w:val="Prrafodelista"/>
        <w:numPr>
          <w:ilvl w:val="0"/>
          <w:numId w:val="18"/>
        </w:numPr>
        <w:jc w:val="both"/>
      </w:pPr>
      <w:r w:rsidRPr="002766B4">
        <w:rPr>
          <w:b/>
          <w:bCs/>
        </w:rPr>
        <w:t>Corrupción:</w:t>
      </w:r>
      <w:r w:rsidRPr="00D2696E">
        <w:t xml:space="preserve"> Para el caso particular de las entidades públicas, se definen las acciones de los servidores públicos asociadas a la corrupción como aquellas que están relacionadas con los delitos contra la administración pública y con acciones que buscan obtener un beneficio particular por parte de un colaborador del Municipio.</w:t>
      </w:r>
    </w:p>
    <w:p w14:paraId="7D4F3167" w14:textId="54106288" w:rsidR="00D2696E" w:rsidRPr="00D2696E" w:rsidRDefault="00D2696E" w:rsidP="00D2696E">
      <w:pPr>
        <w:pStyle w:val="Prrafodelista"/>
        <w:numPr>
          <w:ilvl w:val="0"/>
          <w:numId w:val="18"/>
        </w:numPr>
        <w:jc w:val="both"/>
      </w:pPr>
      <w:r w:rsidRPr="00D2696E">
        <w:rPr>
          <w:b/>
          <w:bCs/>
        </w:rPr>
        <w:t>Peculado:</w:t>
      </w:r>
      <w:r w:rsidRPr="00D2696E">
        <w:t xml:space="preserve"> </w:t>
      </w:r>
      <w:r w:rsidR="00D26878">
        <w:t>E</w:t>
      </w:r>
      <w:r w:rsidRPr="00D2696E">
        <w:t>s el delito que comete un funcionario encargado de administrar bienes, ya de propiedad del estado o de particulares, pero puestos bajo su administración estatal, apropiándose de ellos o usándolos indebidamente.</w:t>
      </w:r>
    </w:p>
    <w:p w14:paraId="16D48B82" w14:textId="1BD6E6EC" w:rsidR="00D2696E" w:rsidRPr="00D2696E" w:rsidRDefault="00D2696E" w:rsidP="00D2696E">
      <w:pPr>
        <w:pStyle w:val="Prrafodelista"/>
        <w:numPr>
          <w:ilvl w:val="0"/>
          <w:numId w:val="18"/>
        </w:numPr>
        <w:jc w:val="both"/>
      </w:pPr>
      <w:r w:rsidRPr="00D2696E">
        <w:rPr>
          <w:b/>
          <w:bCs/>
        </w:rPr>
        <w:t>Concusión:</w:t>
      </w:r>
      <w:r w:rsidRPr="00D2696E">
        <w:t xml:space="preserve"> </w:t>
      </w:r>
      <w:r w:rsidR="00D26878">
        <w:t>E</w:t>
      </w:r>
      <w:r w:rsidRPr="00D2696E">
        <w:t>l servidor público que abusando de su cargo o de sus funciones constriña o induzca a alguien a dar o prometer al mismo servidor o a un tercero, dineros o cualquier otra utilidad indebida.</w:t>
      </w:r>
    </w:p>
    <w:p w14:paraId="1540F055" w14:textId="4017788F" w:rsidR="00D2696E" w:rsidRPr="00D2696E" w:rsidRDefault="00D2696E" w:rsidP="00D2696E">
      <w:pPr>
        <w:pStyle w:val="Prrafodelista"/>
        <w:numPr>
          <w:ilvl w:val="0"/>
          <w:numId w:val="18"/>
        </w:numPr>
        <w:jc w:val="both"/>
      </w:pPr>
      <w:r w:rsidRPr="00D2696E">
        <w:rPr>
          <w:b/>
          <w:bCs/>
        </w:rPr>
        <w:t>Cohecho:</w:t>
      </w:r>
      <w:r w:rsidRPr="00D2696E">
        <w:t xml:space="preserve"> </w:t>
      </w:r>
      <w:r w:rsidR="00D26878">
        <w:t>E</w:t>
      </w:r>
      <w:r w:rsidRPr="00D2696E">
        <w:t>l servidor público que reciba para sí o para otro, dinero u otra utilidad, o acepte promesa remuneratoria, directa o indirectamente, para retardar u omitir un acto propio de su cargo o para ejecutar uno contrario a sus deberes oficiales.</w:t>
      </w:r>
    </w:p>
    <w:p w14:paraId="16B1706E" w14:textId="416A8762" w:rsidR="00D2696E" w:rsidRDefault="00D2696E" w:rsidP="00D2696E">
      <w:pPr>
        <w:pStyle w:val="Prrafodelista"/>
        <w:numPr>
          <w:ilvl w:val="0"/>
          <w:numId w:val="18"/>
        </w:numPr>
        <w:jc w:val="both"/>
      </w:pPr>
      <w:r w:rsidRPr="00D2696E">
        <w:rPr>
          <w:b/>
          <w:bCs/>
        </w:rPr>
        <w:t>Tráfico de Influencias:</w:t>
      </w:r>
      <w:r w:rsidRPr="00D2696E">
        <w:t xml:space="preserve"> </w:t>
      </w:r>
      <w:r w:rsidR="00D26878">
        <w:t>E</w:t>
      </w:r>
      <w:r w:rsidRPr="00D2696E">
        <w:t>l servidor público que utilice indebidamente, en provecho propio o de un tercero, influencias derivadas del ejercicio del cargo o de la función, con el fin de obtener cualquier beneficio de parte de servidor público en asunto que éste se encuentre conociendo o haya de conocer</w:t>
      </w:r>
      <w:r w:rsidR="00D26878">
        <w:t>.</w:t>
      </w:r>
    </w:p>
    <w:p w14:paraId="1ADEBA88" w14:textId="3F368484" w:rsidR="00D2696E" w:rsidRPr="00D2696E" w:rsidRDefault="00D2696E" w:rsidP="00D2696E">
      <w:pPr>
        <w:pStyle w:val="Prrafodelista"/>
        <w:numPr>
          <w:ilvl w:val="0"/>
          <w:numId w:val="18"/>
        </w:numPr>
        <w:jc w:val="both"/>
        <w:rPr>
          <w:b/>
          <w:bCs/>
        </w:rPr>
      </w:pPr>
      <w:r w:rsidRPr="00D2696E">
        <w:rPr>
          <w:b/>
          <w:bCs/>
        </w:rPr>
        <w:t xml:space="preserve">Enriquecimiento ilícito: </w:t>
      </w:r>
      <w:r w:rsidR="00D26878">
        <w:t>E</w:t>
      </w:r>
      <w:r w:rsidRPr="00D2696E">
        <w:t xml:space="preserve">l servidor público o quien haya desempeñado funciones públicas, que, durante su vinculación con la administración, o dentro de los 5 años posteriores a su </w:t>
      </w:r>
      <w:r w:rsidR="00D26878" w:rsidRPr="00D2696E">
        <w:t>desvinculación</w:t>
      </w:r>
      <w:r w:rsidRPr="00D2696E">
        <w:t>, obtenga, para sí o para otro, incremento patrimonial injustificado.</w:t>
      </w:r>
      <w:r w:rsidRPr="00D2696E">
        <w:rPr>
          <w:b/>
          <w:bCs/>
        </w:rPr>
        <w:t xml:space="preserve"> </w:t>
      </w:r>
    </w:p>
    <w:p w14:paraId="2EF80B48" w14:textId="2875C7C8" w:rsidR="00D2696E" w:rsidRPr="00D2696E" w:rsidRDefault="00D2696E" w:rsidP="00D26878">
      <w:pPr>
        <w:pStyle w:val="Prrafodelista"/>
        <w:numPr>
          <w:ilvl w:val="0"/>
          <w:numId w:val="18"/>
        </w:numPr>
        <w:jc w:val="both"/>
      </w:pPr>
      <w:r w:rsidRPr="00D2696E">
        <w:rPr>
          <w:b/>
          <w:bCs/>
        </w:rPr>
        <w:lastRenderedPageBreak/>
        <w:t>Prevaricato:</w:t>
      </w:r>
      <w:r w:rsidRPr="00D2696E">
        <w:t xml:space="preserve"> (por acción) el servidor público que profiera resolución dictamen o concepto ma</w:t>
      </w:r>
      <w:r w:rsidRPr="00D2696E">
        <w:softHyphen/>
        <w:t xml:space="preserve">nifiestamente contrario a la ley. (Por omisión) El servidor público que omita, retarde o rehúse o deniegue un acto propio de sus funciones. Utilización de asunto sometido a secreto o reserva: el servidor público que utilice en provecho propio o ajeno, descubrimiento científico, u otra información o dato llegados a su conocimiento por razón de sus funciones y que deban permanecer en secreto o reserva. </w:t>
      </w:r>
    </w:p>
    <w:p w14:paraId="7CD594C1" w14:textId="77777777" w:rsidR="00D2696E" w:rsidRPr="00D2696E" w:rsidRDefault="00D2696E" w:rsidP="00D2696E">
      <w:pPr>
        <w:pStyle w:val="Prrafodelista"/>
        <w:numPr>
          <w:ilvl w:val="0"/>
          <w:numId w:val="18"/>
        </w:numPr>
        <w:jc w:val="both"/>
      </w:pPr>
      <w:r w:rsidRPr="00D2696E">
        <w:rPr>
          <w:b/>
          <w:bCs/>
        </w:rPr>
        <w:t>Utilización indebida de información privilegiada:</w:t>
      </w:r>
      <w:r w:rsidRPr="00D2696E">
        <w:t xml:space="preserve"> El servidor público que, como empleado o directivo o miembro de una junta u órgano de administración de cualquier entidad pública, que haga uso indebido de información que haya conocido por razón o con ocasión de sus funciones y que no sea objeto de conocimiento público, con el fin de obtener provecho para sí o para un tercero, sea éste persona natural o jurídica. </w:t>
      </w:r>
    </w:p>
    <w:p w14:paraId="025C551B" w14:textId="0F0D9EA3" w:rsidR="00D2696E" w:rsidRPr="00D2696E" w:rsidRDefault="00D2696E" w:rsidP="00D2696E">
      <w:pPr>
        <w:pStyle w:val="Prrafodelista"/>
        <w:numPr>
          <w:ilvl w:val="0"/>
          <w:numId w:val="18"/>
        </w:numPr>
        <w:jc w:val="both"/>
      </w:pPr>
      <w:r w:rsidRPr="00D2696E">
        <w:rPr>
          <w:b/>
          <w:bCs/>
        </w:rPr>
        <w:t>Soborno:</w:t>
      </w:r>
      <w:r w:rsidRPr="00D2696E">
        <w:t xml:space="preserve"> </w:t>
      </w:r>
      <w:r w:rsidR="00D26878">
        <w:t>1. L</w:t>
      </w:r>
      <w:r w:rsidRPr="00D2696E">
        <w:t>a promesa, el ofrecimiento o la concesión, en forma directa o indirecta, a una persona que dirija una entidad del sector privado o cumpla cualquier función en ella, de un beneficio indebi</w:t>
      </w:r>
      <w:r w:rsidRPr="00D2696E">
        <w:softHyphen/>
        <w:t xml:space="preserve">do que redunde en su propio provecho o en el de otra persona, con el fin de que, faltando al deber inherente a sus funciones, actúe o se abstenga de actuar; </w:t>
      </w:r>
      <w:r w:rsidR="00D26878">
        <w:t>2.</w:t>
      </w:r>
      <w:r w:rsidRPr="00D2696E">
        <w:t xml:space="preserve"> La solicitud o aceptación, en forma directa o indirecta, por una persona que dirija una entidad del sector privado o cumpla cualquier fun</w:t>
      </w:r>
      <w:r w:rsidRPr="00D2696E">
        <w:softHyphen/>
        <w:t>ción en ella, de un beneficio indebido que redunde en su propio provecho o en el de otra persona, con el fin de que, faltando al deber inherente a sus funciones, actúe o se abstenga de actuar</w:t>
      </w:r>
    </w:p>
    <w:p w14:paraId="14C0B140" w14:textId="322F08CA" w:rsidR="00D2696E" w:rsidRPr="00D2696E" w:rsidRDefault="00D2696E" w:rsidP="00D2696E">
      <w:pPr>
        <w:pStyle w:val="Prrafodelista"/>
        <w:numPr>
          <w:ilvl w:val="0"/>
          <w:numId w:val="18"/>
        </w:numPr>
        <w:jc w:val="both"/>
      </w:pPr>
      <w:r w:rsidRPr="00D2696E">
        <w:rPr>
          <w:b/>
          <w:bCs/>
        </w:rPr>
        <w:t>Manipulación de información:</w:t>
      </w:r>
      <w:r w:rsidRPr="00D2696E">
        <w:t xml:space="preserve"> </w:t>
      </w:r>
      <w:r w:rsidR="00D26878">
        <w:t>P</w:t>
      </w:r>
      <w:r w:rsidRPr="00D2696E">
        <w:t>ersonas que, impulsadas por intereses particulares, afectan la integralidad, imparcialidad de la información pública o privada, agregando información inexacta o falsa para obtener un beneficio de la entidad pública. Para este caso la manipulación de la infor</w:t>
      </w:r>
      <w:r w:rsidRPr="00D2696E">
        <w:softHyphen/>
        <w:t>mación puede ser interna de quien tiene acceso a los sistemas de información -o verificación de requisitos- y del agente externo quien presenta documentación alterada.</w:t>
      </w:r>
    </w:p>
    <w:p w14:paraId="7F1C5FDB" w14:textId="46F7469A" w:rsidR="000B7423" w:rsidRPr="0005192E" w:rsidRDefault="00D848D7" w:rsidP="00946118">
      <w:pPr>
        <w:rPr>
          <w:b/>
          <w:bCs/>
          <w:color w:val="1F3864" w:themeColor="accent5" w:themeShade="80"/>
        </w:rPr>
      </w:pPr>
      <w:r>
        <w:br w:type="page"/>
      </w:r>
      <w:r w:rsidR="000B7423" w:rsidRPr="0005192E">
        <w:rPr>
          <w:b/>
          <w:bCs/>
          <w:color w:val="1F3864" w:themeColor="accent5" w:themeShade="80"/>
        </w:rPr>
        <w:lastRenderedPageBreak/>
        <w:t>INTRODUCCION</w:t>
      </w:r>
    </w:p>
    <w:p w14:paraId="2DA6F8CB" w14:textId="6F5699BE" w:rsidR="000B7423" w:rsidRDefault="000B7423" w:rsidP="004C1C68">
      <w:pPr>
        <w:jc w:val="both"/>
      </w:pPr>
      <w:r w:rsidRPr="000B7423">
        <w:t xml:space="preserve">El </w:t>
      </w:r>
      <w:r w:rsidR="007869CD">
        <w:t>Programa de Transparencia y Ética Pública</w:t>
      </w:r>
      <w:r w:rsidRPr="000B7423">
        <w:t xml:space="preserve"> – PTEP es el instrumento con el que</w:t>
      </w:r>
      <w:r>
        <w:t xml:space="preserve"> el municipio de Itagüí </w:t>
      </w:r>
      <w:r w:rsidRPr="000B7423">
        <w:t xml:space="preserve">define acciones estratégicas </w:t>
      </w:r>
      <w:r>
        <w:t xml:space="preserve">a corto y mediano plazo </w:t>
      </w:r>
      <w:r w:rsidRPr="000B7423">
        <w:t>para promover, al interior de la organización, una cultura de la legalidad e identificar, medir, controlar y monitorear los riesgos para la integridad que se presentan en el desarrollo de su misionalidad</w:t>
      </w:r>
      <w:r>
        <w:t>, en cumplimiento con las disposiciones normativas y las dadas por l</w:t>
      </w:r>
      <w:r w:rsidRPr="000B7423">
        <w:t>a Secretaría de Transparencia de la Presidencia de la República</w:t>
      </w:r>
      <w:r>
        <w:t xml:space="preserve"> en cuanto a la Transparencia, Acceso a la Información Pública, Gobierno Abierto, Gestión de Riesgos de Corrupción, Lavado de Activos, Financiación del Terrorismo, entre otras temáticas relacionadas.</w:t>
      </w:r>
    </w:p>
    <w:p w14:paraId="5F7487E8" w14:textId="3891C865" w:rsidR="000B7423" w:rsidRDefault="000B7423" w:rsidP="004C1C68">
      <w:pPr>
        <w:jc w:val="both"/>
      </w:pPr>
      <w:r>
        <w:t xml:space="preserve">Este programa de </w:t>
      </w:r>
      <w:r w:rsidR="004C1C68">
        <w:t>formulará</w:t>
      </w:r>
      <w:r w:rsidR="00E279F0">
        <w:t xml:space="preserve"> para los años 2025 – 2027 el cual cuenta con un documento anexo (plan de ejecución y monitoreo) el cual se publicará de manera anual al inicio de cada vigencia en la sede electrónica. </w:t>
      </w:r>
    </w:p>
    <w:p w14:paraId="05D9A270" w14:textId="77777777" w:rsidR="00E279F0" w:rsidRDefault="00E279F0" w:rsidP="004C1C68">
      <w:pPr>
        <w:jc w:val="both"/>
      </w:pPr>
    </w:p>
    <w:p w14:paraId="4965A4F4" w14:textId="53EEA916" w:rsidR="00E279F0" w:rsidRPr="0005192E" w:rsidRDefault="00E279F0" w:rsidP="004C1C68">
      <w:pPr>
        <w:jc w:val="both"/>
        <w:rPr>
          <w:b/>
          <w:bCs/>
          <w:color w:val="1F3864" w:themeColor="accent5" w:themeShade="80"/>
        </w:rPr>
      </w:pPr>
      <w:r w:rsidRPr="0005192E">
        <w:rPr>
          <w:b/>
          <w:bCs/>
          <w:color w:val="1F3864" w:themeColor="accent5" w:themeShade="80"/>
        </w:rPr>
        <w:t>OBJETIVOS</w:t>
      </w:r>
    </w:p>
    <w:p w14:paraId="5B75F962" w14:textId="77777777" w:rsidR="00E279F0" w:rsidRPr="0005192E" w:rsidRDefault="00E279F0" w:rsidP="004C1C68">
      <w:pPr>
        <w:jc w:val="both"/>
        <w:rPr>
          <w:b/>
          <w:bCs/>
          <w:color w:val="1F3864" w:themeColor="accent5" w:themeShade="80"/>
        </w:rPr>
      </w:pPr>
      <w:r w:rsidRPr="0005192E">
        <w:rPr>
          <w:b/>
          <w:bCs/>
          <w:color w:val="1F3864" w:themeColor="accent5" w:themeShade="80"/>
        </w:rPr>
        <w:t>OBJETIVO GENERAL</w:t>
      </w:r>
    </w:p>
    <w:p w14:paraId="7166FE36" w14:textId="30DAC61A" w:rsidR="00E279F0" w:rsidRPr="00E279F0" w:rsidRDefault="00E279F0" w:rsidP="004C1C68">
      <w:pPr>
        <w:jc w:val="both"/>
      </w:pPr>
      <w:r w:rsidRPr="00E279F0">
        <w:t>Promover una cultura de legalidad basada en principios de transparencia, acceso a la información, lucha contra</w:t>
      </w:r>
      <w:r>
        <w:t xml:space="preserve"> </w:t>
      </w:r>
      <w:r w:rsidRPr="00E279F0">
        <w:t>la corrupción, integridad, Estado Abierto, principios y valores del servicio público a partir de la generación de</w:t>
      </w:r>
      <w:r>
        <w:t xml:space="preserve"> </w:t>
      </w:r>
      <w:r w:rsidRPr="00E279F0">
        <w:t>acciones que permitan fortalecer esta cultura y mantenerla en el tiempo.</w:t>
      </w:r>
    </w:p>
    <w:p w14:paraId="17335907" w14:textId="77777777" w:rsidR="00E279F0" w:rsidRPr="0005192E" w:rsidRDefault="00E279F0" w:rsidP="004C1C68">
      <w:pPr>
        <w:jc w:val="both"/>
        <w:rPr>
          <w:b/>
          <w:bCs/>
          <w:color w:val="1F3864" w:themeColor="accent5" w:themeShade="80"/>
        </w:rPr>
      </w:pPr>
      <w:r w:rsidRPr="0005192E">
        <w:rPr>
          <w:b/>
          <w:bCs/>
          <w:color w:val="1F3864" w:themeColor="accent5" w:themeShade="80"/>
        </w:rPr>
        <w:t>OBJETIVOS ESPECÍFICOS</w:t>
      </w:r>
    </w:p>
    <w:p w14:paraId="6A59DDBB" w14:textId="084A9F46" w:rsidR="00E279F0" w:rsidRPr="00E279F0" w:rsidRDefault="00E279F0" w:rsidP="004C1C68">
      <w:pPr>
        <w:pStyle w:val="Prrafodelista"/>
        <w:numPr>
          <w:ilvl w:val="0"/>
          <w:numId w:val="10"/>
        </w:numPr>
        <w:jc w:val="both"/>
      </w:pPr>
      <w:r w:rsidRPr="00E279F0">
        <w:t>Implementar acciones que permitan atender los requerimientos en lavado de activos, financiación del</w:t>
      </w:r>
      <w:r w:rsidR="004C1C68">
        <w:t xml:space="preserve"> </w:t>
      </w:r>
      <w:r w:rsidRPr="00E279F0">
        <w:t>terrorismo y proliferación de armas de destrucción masiva</w:t>
      </w:r>
    </w:p>
    <w:p w14:paraId="2F4E1512" w14:textId="4E47740D" w:rsidR="00105899" w:rsidRPr="00105899" w:rsidRDefault="00E279F0" w:rsidP="00105899">
      <w:pPr>
        <w:pStyle w:val="Prrafodelista"/>
        <w:numPr>
          <w:ilvl w:val="0"/>
          <w:numId w:val="10"/>
        </w:numPr>
        <w:jc w:val="both"/>
      </w:pPr>
      <w:r w:rsidRPr="00E279F0">
        <w:t>Apropiar los valores del servicio público para afianzar la cultura de la legalidad</w:t>
      </w:r>
      <w:r w:rsidR="00105899">
        <w:t>.</w:t>
      </w:r>
    </w:p>
    <w:p w14:paraId="38A5658D" w14:textId="4CE56C21" w:rsidR="00105899" w:rsidRPr="00105899" w:rsidRDefault="00105899" w:rsidP="00105899">
      <w:pPr>
        <w:pStyle w:val="Prrafodelista"/>
        <w:numPr>
          <w:ilvl w:val="0"/>
          <w:numId w:val="10"/>
        </w:numPr>
        <w:jc w:val="both"/>
      </w:pPr>
      <w:r w:rsidRPr="00105899">
        <w:t xml:space="preserve">Desarrollar estrategias que permitan a los grupos de interés, acceder a la información sobre la gestión institucional conforme con la normativa vigente. </w:t>
      </w:r>
    </w:p>
    <w:p w14:paraId="7DE19C27" w14:textId="7BC3397A" w:rsidR="00105899" w:rsidRPr="00105899" w:rsidRDefault="00105899" w:rsidP="00105899">
      <w:pPr>
        <w:pStyle w:val="Prrafodelista"/>
        <w:numPr>
          <w:ilvl w:val="0"/>
          <w:numId w:val="10"/>
        </w:numPr>
        <w:jc w:val="both"/>
      </w:pPr>
      <w:r w:rsidRPr="00105899">
        <w:t xml:space="preserve">Implementar acciones encaminadas a mejorar la calidad y el acceso a los servicios, mejorando la satisfacción de los usuarios y facilitando el ejercicio de sus derechos. </w:t>
      </w:r>
    </w:p>
    <w:p w14:paraId="1402DF77" w14:textId="77777777" w:rsidR="00105899" w:rsidRPr="00D26878" w:rsidRDefault="00105899" w:rsidP="00105899">
      <w:pPr>
        <w:pStyle w:val="Prrafodelista"/>
        <w:numPr>
          <w:ilvl w:val="0"/>
          <w:numId w:val="10"/>
        </w:numPr>
        <w:jc w:val="both"/>
      </w:pPr>
      <w:r w:rsidRPr="00D26878">
        <w:t>Implementar acciones para promover la cultura de la integridad y ética pública.</w:t>
      </w:r>
    </w:p>
    <w:p w14:paraId="5E86203A" w14:textId="65DABFF4" w:rsidR="00105899" w:rsidRPr="00D26878" w:rsidRDefault="00105899" w:rsidP="00105899">
      <w:pPr>
        <w:pStyle w:val="Prrafodelista"/>
        <w:numPr>
          <w:ilvl w:val="0"/>
          <w:numId w:val="10"/>
        </w:numPr>
        <w:jc w:val="both"/>
      </w:pPr>
      <w:r w:rsidRPr="00D26878">
        <w:t xml:space="preserve">Gestionar la debida diligencia, prevención y administración de riesgos de lavado de activos, encaminadas a fortalecer la estrategia de lucha contra la corrupción </w:t>
      </w:r>
    </w:p>
    <w:p w14:paraId="0AF76DE3" w14:textId="77777777" w:rsidR="00105899" w:rsidRDefault="00105899" w:rsidP="00946118">
      <w:pPr>
        <w:pStyle w:val="Prrafodelista"/>
        <w:ind w:left="360"/>
        <w:jc w:val="both"/>
      </w:pPr>
    </w:p>
    <w:p w14:paraId="4E494E32" w14:textId="6C905B06" w:rsidR="00105899" w:rsidRPr="001F6BE2" w:rsidRDefault="00105899" w:rsidP="00105899">
      <w:pPr>
        <w:jc w:val="both"/>
        <w:rPr>
          <w:b/>
          <w:bCs/>
          <w:color w:val="1F3864" w:themeColor="accent5" w:themeShade="80"/>
        </w:rPr>
      </w:pPr>
      <w:r w:rsidRPr="001F6BE2">
        <w:rPr>
          <w:b/>
          <w:bCs/>
          <w:color w:val="1F3864" w:themeColor="accent5" w:themeShade="80"/>
        </w:rPr>
        <w:t>ALCANCE.</w:t>
      </w:r>
    </w:p>
    <w:p w14:paraId="42F475AD" w14:textId="1AC76ABD" w:rsidR="00105899" w:rsidRDefault="00105899" w:rsidP="00105899">
      <w:pPr>
        <w:jc w:val="both"/>
      </w:pPr>
      <w:r>
        <w:t>El Plan de Transición de</w:t>
      </w:r>
      <w:r w:rsidRPr="00105899">
        <w:t xml:space="preserve">l </w:t>
      </w:r>
      <w:r w:rsidR="007869CD">
        <w:t>Programa de Transparencia y Ética Pública</w:t>
      </w:r>
      <w:r w:rsidRPr="00105899">
        <w:t xml:space="preserve"> aplica para todas las </w:t>
      </w:r>
      <w:r>
        <w:t>unidades administrativas</w:t>
      </w:r>
      <w:r w:rsidRPr="00105899">
        <w:t>, colaboradores y grupos de interés</w:t>
      </w:r>
      <w:r>
        <w:t xml:space="preserve"> </w:t>
      </w:r>
      <w:r w:rsidRPr="00105899">
        <w:t>que tienen responsabilidad</w:t>
      </w:r>
      <w:r w:rsidR="00C57C22">
        <w:t xml:space="preserve"> e injerencia</w:t>
      </w:r>
      <w:r w:rsidRPr="00105899">
        <w:t xml:space="preserve"> sobre las actividades formuladas o que reciben capacitaciones y</w:t>
      </w:r>
      <w:r>
        <w:t xml:space="preserve"> </w:t>
      </w:r>
      <w:r w:rsidRPr="00105899">
        <w:t xml:space="preserve">retroalimentación derivadas del desarrollo de las </w:t>
      </w:r>
      <w:r w:rsidRPr="00105899">
        <w:lastRenderedPageBreak/>
        <w:t>mismas</w:t>
      </w:r>
      <w:r w:rsidR="00C57C22">
        <w:t>, e</w:t>
      </w:r>
      <w:r w:rsidRPr="00105899">
        <w:t>ste programa busca involucrar a los diversos actores y grupos de valor relevantes para asegurar su éxito, considerando sus roles, responsabilidades y la influencia que tienen dentro del ciclo completo del programa.</w:t>
      </w:r>
    </w:p>
    <w:p w14:paraId="22AFD86C" w14:textId="4F0E7648" w:rsidR="00E709CA" w:rsidRDefault="00E709CA" w:rsidP="00105899">
      <w:pPr>
        <w:jc w:val="both"/>
      </w:pPr>
    </w:p>
    <w:p w14:paraId="78DC9A32" w14:textId="436C1920" w:rsidR="00E709CA" w:rsidRPr="0005192E" w:rsidRDefault="00E709CA" w:rsidP="00E709CA">
      <w:pPr>
        <w:jc w:val="both"/>
        <w:rPr>
          <w:b/>
          <w:bCs/>
          <w:color w:val="1F3864" w:themeColor="accent5" w:themeShade="80"/>
        </w:rPr>
      </w:pPr>
      <w:r w:rsidRPr="0005192E">
        <w:rPr>
          <w:b/>
          <w:bCs/>
          <w:color w:val="1F3864" w:themeColor="accent5" w:themeShade="80"/>
        </w:rPr>
        <w:t xml:space="preserve">PLAN DE TRANSICIÓN - </w:t>
      </w:r>
      <w:r w:rsidR="007869CD">
        <w:rPr>
          <w:b/>
          <w:bCs/>
          <w:color w:val="1F3864" w:themeColor="accent5" w:themeShade="80"/>
        </w:rPr>
        <w:t>PROGRAMA DE TRANSPARENCIA Y ÉTICA PÚBLICA</w:t>
      </w:r>
      <w:r w:rsidRPr="0005192E">
        <w:rPr>
          <w:b/>
          <w:bCs/>
          <w:color w:val="1F3864" w:themeColor="accent5" w:themeShade="80"/>
        </w:rPr>
        <w:t xml:space="preserve"> PUBLICA – PTEP</w:t>
      </w:r>
    </w:p>
    <w:p w14:paraId="3A54D527" w14:textId="4489DB29" w:rsidR="00E709CA" w:rsidRDefault="00E709CA" w:rsidP="00E709CA">
      <w:pPr>
        <w:jc w:val="both"/>
      </w:pPr>
      <w:r>
        <w:t>Para la construcción y ejecución del plan transición de</w:t>
      </w:r>
      <w:r w:rsidR="0005192E">
        <w:t>l</w:t>
      </w:r>
      <w:r>
        <w:t xml:space="preserve"> plan anticorrupción a la formulación </w:t>
      </w:r>
      <w:r w:rsidR="00AF14FD">
        <w:t>del Programa</w:t>
      </w:r>
      <w:r w:rsidR="007869CD">
        <w:t xml:space="preserve"> de Transparencia y Ética Pública</w:t>
      </w:r>
      <w:r>
        <w:t xml:space="preserve"> y de acuerdo con los avances que se registran, se establece a continuación, la correlación entre los contenidos mínimos definidos en la Ley 2195 de 2022 y las acciones a desarrollar por </w:t>
      </w:r>
      <w:r w:rsidR="00E55A61">
        <w:t>el municipio</w:t>
      </w:r>
      <w:r>
        <w:t>:</w:t>
      </w:r>
    </w:p>
    <w:p w14:paraId="3D881BE0" w14:textId="77777777" w:rsidR="007869CD" w:rsidRDefault="007869CD" w:rsidP="00E709CA">
      <w:pPr>
        <w:jc w:val="both"/>
      </w:pPr>
    </w:p>
    <w:p w14:paraId="5BFEF58A" w14:textId="35E45B1B" w:rsidR="0005192E" w:rsidRPr="00695B71" w:rsidRDefault="0005192E" w:rsidP="00E709CA">
      <w:pPr>
        <w:jc w:val="both"/>
        <w:rPr>
          <w:b/>
          <w:bCs/>
          <w:color w:val="1F3864" w:themeColor="accent5" w:themeShade="80"/>
        </w:rPr>
      </w:pPr>
      <w:r w:rsidRPr="00695B71">
        <w:rPr>
          <w:b/>
          <w:bCs/>
          <w:color w:val="1F3864" w:themeColor="accent5" w:themeShade="80"/>
        </w:rPr>
        <w:t>Estructuración del</w:t>
      </w:r>
      <w:r w:rsidR="007869CD">
        <w:rPr>
          <w:b/>
          <w:bCs/>
          <w:color w:val="1F3864" w:themeColor="accent5" w:themeShade="80"/>
        </w:rPr>
        <w:t xml:space="preserve"> Programa </w:t>
      </w:r>
      <w:r w:rsidRPr="00695B71">
        <w:rPr>
          <w:b/>
          <w:bCs/>
          <w:color w:val="1F3864" w:themeColor="accent5" w:themeShade="80"/>
        </w:rPr>
        <w:t>PTEP</w:t>
      </w:r>
    </w:p>
    <w:p w14:paraId="1CB649E5" w14:textId="1C08D3FE" w:rsidR="0005192E" w:rsidRDefault="0005192E" w:rsidP="0005192E">
      <w:pPr>
        <w:jc w:val="center"/>
      </w:pPr>
      <w:r>
        <w:rPr>
          <w:noProof/>
        </w:rPr>
        <w:drawing>
          <wp:inline distT="0" distB="0" distL="0" distR="0" wp14:anchorId="19B97F6F" wp14:editId="0F594F76">
            <wp:extent cx="5873115" cy="3949794"/>
            <wp:effectExtent l="0" t="0" r="0" b="0"/>
            <wp:docPr id="2087891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1865" name=""/>
                    <pic:cNvPicPr/>
                  </pic:nvPicPr>
                  <pic:blipFill rotWithShape="1">
                    <a:blip r:embed="rId9"/>
                    <a:srcRect l="9560" t="4456" r="10524"/>
                    <a:stretch/>
                  </pic:blipFill>
                  <pic:spPr bwMode="auto">
                    <a:xfrm>
                      <a:off x="0" y="0"/>
                      <a:ext cx="5892037" cy="3962519"/>
                    </a:xfrm>
                    <a:prstGeom prst="rect">
                      <a:avLst/>
                    </a:prstGeom>
                    <a:ln>
                      <a:noFill/>
                    </a:ln>
                    <a:extLst>
                      <a:ext uri="{53640926-AAD7-44D8-BBD7-CCE9431645EC}">
                        <a14:shadowObscured xmlns:a14="http://schemas.microsoft.com/office/drawing/2010/main"/>
                      </a:ext>
                    </a:extLst>
                  </pic:spPr>
                </pic:pic>
              </a:graphicData>
            </a:graphic>
          </wp:inline>
        </w:drawing>
      </w:r>
    </w:p>
    <w:p w14:paraId="7335CCAE" w14:textId="77777777" w:rsidR="0005192E" w:rsidRDefault="0005192E" w:rsidP="00E709CA">
      <w:pPr>
        <w:jc w:val="both"/>
      </w:pPr>
    </w:p>
    <w:p w14:paraId="256FCD77" w14:textId="721DF607" w:rsidR="0005192E" w:rsidRDefault="00535362" w:rsidP="00E709CA">
      <w:pPr>
        <w:jc w:val="both"/>
        <w:rPr>
          <w:b/>
          <w:bCs/>
          <w:color w:val="1F3864" w:themeColor="accent5" w:themeShade="80"/>
        </w:rPr>
      </w:pPr>
      <w:r>
        <w:rPr>
          <w:b/>
          <w:bCs/>
          <w:color w:val="1F3864" w:themeColor="accent5" w:themeShade="80"/>
        </w:rPr>
        <w:lastRenderedPageBreak/>
        <w:t xml:space="preserve">ACCIONES DEL </w:t>
      </w:r>
      <w:r w:rsidRPr="00535362">
        <w:rPr>
          <w:b/>
          <w:bCs/>
          <w:color w:val="1F3864" w:themeColor="accent5" w:themeShade="80"/>
        </w:rPr>
        <w:t>PLAN DE TRANSICIÓN DEL PROGRAMA DE TRANSPARENCIA Y ÉTICA PÚBLICA</w:t>
      </w:r>
    </w:p>
    <w:p w14:paraId="504ACC5E" w14:textId="02744E0D" w:rsidR="00535362" w:rsidRPr="00535362" w:rsidRDefault="00535362" w:rsidP="00E709CA">
      <w:pPr>
        <w:jc w:val="both"/>
        <w:rPr>
          <w:color w:val="1F3864" w:themeColor="accent5" w:themeShade="80"/>
        </w:rPr>
      </w:pPr>
      <w:r w:rsidRPr="00535362">
        <w:t>Acciones de definidas para construcción del programa PTEP</w:t>
      </w:r>
      <w:r>
        <w:t>.</w:t>
      </w:r>
    </w:p>
    <w:tbl>
      <w:tblPr>
        <w:tblW w:w="5000" w:type="pct"/>
        <w:tblLayout w:type="fixed"/>
        <w:tblCellMar>
          <w:left w:w="70" w:type="dxa"/>
          <w:right w:w="70" w:type="dxa"/>
        </w:tblCellMar>
        <w:tblLook w:val="04A0" w:firstRow="1" w:lastRow="0" w:firstColumn="1" w:lastColumn="0" w:noHBand="0" w:noVBand="1"/>
      </w:tblPr>
      <w:tblGrid>
        <w:gridCol w:w="343"/>
        <w:gridCol w:w="2487"/>
        <w:gridCol w:w="1276"/>
        <w:gridCol w:w="1278"/>
        <w:gridCol w:w="1274"/>
        <w:gridCol w:w="443"/>
        <w:gridCol w:w="437"/>
        <w:gridCol w:w="529"/>
        <w:gridCol w:w="468"/>
        <w:gridCol w:w="532"/>
        <w:gridCol w:w="441"/>
      </w:tblGrid>
      <w:tr w:rsidR="007869CD" w:rsidRPr="0031240F" w14:paraId="38BC95BA" w14:textId="77777777" w:rsidTr="00A339E0">
        <w:trPr>
          <w:trHeight w:val="406"/>
          <w:tblHeader/>
        </w:trPr>
        <w:tc>
          <w:tcPr>
            <w:tcW w:w="180" w:type="pct"/>
            <w:vMerge w:val="restart"/>
            <w:tcBorders>
              <w:top w:val="single" w:sz="8" w:space="0" w:color="auto"/>
              <w:left w:val="single" w:sz="4" w:space="0" w:color="auto"/>
              <w:bottom w:val="single" w:sz="8" w:space="0" w:color="000000"/>
              <w:right w:val="single" w:sz="4" w:space="0" w:color="auto"/>
            </w:tcBorders>
            <w:shd w:val="clear" w:color="4472C4" w:fill="2F75B5"/>
            <w:vAlign w:val="center"/>
            <w:hideMark/>
          </w:tcPr>
          <w:p w14:paraId="34A3BE63"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8"/>
                <w:szCs w:val="18"/>
                <w:lang w:eastAsia="es-CO"/>
              </w:rPr>
            </w:pPr>
            <w:r w:rsidRPr="008B4A14">
              <w:rPr>
                <w:rFonts w:asciiTheme="majorHAnsi" w:eastAsia="Times New Roman" w:hAnsiTheme="majorHAnsi" w:cstheme="majorHAnsi"/>
                <w:b/>
                <w:bCs/>
                <w:color w:val="FFFFFF"/>
                <w:sz w:val="18"/>
                <w:szCs w:val="18"/>
                <w:lang w:eastAsia="es-CO"/>
              </w:rPr>
              <w:t>#</w:t>
            </w:r>
          </w:p>
        </w:tc>
        <w:tc>
          <w:tcPr>
            <w:tcW w:w="1308" w:type="pct"/>
            <w:vMerge w:val="restart"/>
            <w:tcBorders>
              <w:top w:val="single" w:sz="8" w:space="0" w:color="auto"/>
              <w:left w:val="single" w:sz="4" w:space="0" w:color="auto"/>
              <w:bottom w:val="single" w:sz="8" w:space="0" w:color="000000"/>
              <w:right w:val="single" w:sz="4" w:space="0" w:color="auto"/>
            </w:tcBorders>
            <w:shd w:val="clear" w:color="4472C4" w:fill="2F75B5"/>
            <w:vAlign w:val="center"/>
            <w:hideMark/>
          </w:tcPr>
          <w:p w14:paraId="08CBADCA"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8"/>
                <w:szCs w:val="18"/>
                <w:lang w:eastAsia="es-CO"/>
              </w:rPr>
            </w:pPr>
            <w:r w:rsidRPr="008B4A14">
              <w:rPr>
                <w:rFonts w:asciiTheme="majorHAnsi" w:eastAsia="Times New Roman" w:hAnsiTheme="majorHAnsi" w:cstheme="majorHAnsi"/>
                <w:b/>
                <w:bCs/>
                <w:color w:val="FFFFFF"/>
                <w:sz w:val="18"/>
                <w:szCs w:val="18"/>
                <w:lang w:eastAsia="es-CO"/>
              </w:rPr>
              <w:t>Actividad</w:t>
            </w:r>
          </w:p>
        </w:tc>
        <w:tc>
          <w:tcPr>
            <w:tcW w:w="671" w:type="pct"/>
            <w:vMerge w:val="restart"/>
            <w:tcBorders>
              <w:top w:val="single" w:sz="8" w:space="0" w:color="auto"/>
              <w:left w:val="single" w:sz="4" w:space="0" w:color="auto"/>
              <w:bottom w:val="single" w:sz="8" w:space="0" w:color="000000"/>
              <w:right w:val="single" w:sz="4" w:space="0" w:color="auto"/>
            </w:tcBorders>
            <w:shd w:val="clear" w:color="4472C4" w:fill="2F75B5"/>
            <w:vAlign w:val="center"/>
            <w:hideMark/>
          </w:tcPr>
          <w:p w14:paraId="08D6DF59"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8"/>
                <w:szCs w:val="18"/>
                <w:lang w:eastAsia="es-CO"/>
              </w:rPr>
            </w:pPr>
            <w:r w:rsidRPr="008B4A14">
              <w:rPr>
                <w:rFonts w:asciiTheme="majorHAnsi" w:eastAsia="Times New Roman" w:hAnsiTheme="majorHAnsi" w:cstheme="majorHAnsi"/>
                <w:b/>
                <w:bCs/>
                <w:color w:val="FFFFFF"/>
                <w:sz w:val="18"/>
                <w:szCs w:val="18"/>
                <w:lang w:eastAsia="es-CO"/>
              </w:rPr>
              <w:t>Meta o producto</w:t>
            </w:r>
          </w:p>
        </w:tc>
        <w:tc>
          <w:tcPr>
            <w:tcW w:w="672" w:type="pct"/>
            <w:vMerge w:val="restart"/>
            <w:tcBorders>
              <w:top w:val="single" w:sz="8" w:space="0" w:color="auto"/>
              <w:left w:val="single" w:sz="4" w:space="0" w:color="auto"/>
              <w:bottom w:val="single" w:sz="8" w:space="0" w:color="000000"/>
              <w:right w:val="single" w:sz="4" w:space="0" w:color="auto"/>
            </w:tcBorders>
            <w:shd w:val="clear" w:color="4472C4" w:fill="2F75B5"/>
            <w:vAlign w:val="center"/>
            <w:hideMark/>
          </w:tcPr>
          <w:p w14:paraId="36431F51"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8"/>
                <w:szCs w:val="18"/>
                <w:lang w:eastAsia="es-CO"/>
              </w:rPr>
            </w:pPr>
            <w:r w:rsidRPr="008B4A14">
              <w:rPr>
                <w:rFonts w:asciiTheme="majorHAnsi" w:eastAsia="Times New Roman" w:hAnsiTheme="majorHAnsi" w:cstheme="majorHAnsi"/>
                <w:b/>
                <w:bCs/>
                <w:color w:val="FFFFFF"/>
                <w:sz w:val="18"/>
                <w:szCs w:val="18"/>
                <w:lang w:eastAsia="es-CO"/>
              </w:rPr>
              <w:t>Responsable</w:t>
            </w:r>
          </w:p>
        </w:tc>
        <w:tc>
          <w:tcPr>
            <w:tcW w:w="670" w:type="pct"/>
            <w:vMerge w:val="restart"/>
            <w:tcBorders>
              <w:top w:val="single" w:sz="8" w:space="0" w:color="auto"/>
              <w:left w:val="single" w:sz="4" w:space="0" w:color="auto"/>
              <w:bottom w:val="single" w:sz="8" w:space="0" w:color="000000"/>
              <w:right w:val="single" w:sz="4" w:space="0" w:color="auto"/>
            </w:tcBorders>
            <w:shd w:val="clear" w:color="4472C4" w:fill="2F75B5"/>
            <w:vAlign w:val="center"/>
            <w:hideMark/>
          </w:tcPr>
          <w:p w14:paraId="481532ED"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8"/>
                <w:szCs w:val="18"/>
                <w:lang w:eastAsia="es-CO"/>
              </w:rPr>
            </w:pPr>
            <w:r w:rsidRPr="008B4A14">
              <w:rPr>
                <w:rFonts w:asciiTheme="majorHAnsi" w:eastAsia="Times New Roman" w:hAnsiTheme="majorHAnsi" w:cstheme="majorHAnsi"/>
                <w:b/>
                <w:bCs/>
                <w:color w:val="FFFFFF"/>
                <w:sz w:val="18"/>
                <w:szCs w:val="18"/>
                <w:lang w:eastAsia="es-CO"/>
              </w:rPr>
              <w:t>Unidad administrativa de apoyo</w:t>
            </w:r>
          </w:p>
        </w:tc>
        <w:tc>
          <w:tcPr>
            <w:tcW w:w="1499" w:type="pct"/>
            <w:gridSpan w:val="6"/>
            <w:tcBorders>
              <w:top w:val="single" w:sz="8" w:space="0" w:color="auto"/>
              <w:left w:val="nil"/>
              <w:bottom w:val="single" w:sz="8" w:space="0" w:color="auto"/>
              <w:right w:val="single" w:sz="4" w:space="0" w:color="000000"/>
            </w:tcBorders>
            <w:shd w:val="clear" w:color="4472C4" w:fill="2F75B5"/>
            <w:vAlign w:val="center"/>
            <w:hideMark/>
          </w:tcPr>
          <w:p w14:paraId="704F9964"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8"/>
                <w:szCs w:val="18"/>
                <w:lang w:eastAsia="es-CO"/>
              </w:rPr>
            </w:pPr>
            <w:r w:rsidRPr="008B4A14">
              <w:rPr>
                <w:rFonts w:asciiTheme="majorHAnsi" w:eastAsia="Times New Roman" w:hAnsiTheme="majorHAnsi" w:cstheme="majorHAnsi"/>
                <w:b/>
                <w:bCs/>
                <w:color w:val="FFFFFF"/>
                <w:sz w:val="18"/>
                <w:szCs w:val="18"/>
                <w:lang w:eastAsia="es-CO"/>
              </w:rPr>
              <w:t xml:space="preserve">Fechas de cumplimiento </w:t>
            </w:r>
          </w:p>
        </w:tc>
      </w:tr>
      <w:tr w:rsidR="00655086" w:rsidRPr="0031240F" w14:paraId="2A212B21" w14:textId="77777777" w:rsidTr="00A339E0">
        <w:trPr>
          <w:trHeight w:val="272"/>
        </w:trPr>
        <w:tc>
          <w:tcPr>
            <w:tcW w:w="180" w:type="pct"/>
            <w:vMerge/>
            <w:tcBorders>
              <w:top w:val="single" w:sz="8" w:space="0" w:color="auto"/>
              <w:left w:val="single" w:sz="4" w:space="0" w:color="auto"/>
              <w:bottom w:val="single" w:sz="8" w:space="0" w:color="000000"/>
              <w:right w:val="single" w:sz="4" w:space="0" w:color="auto"/>
            </w:tcBorders>
            <w:vAlign w:val="center"/>
            <w:hideMark/>
          </w:tcPr>
          <w:p w14:paraId="35C8D8E9" w14:textId="77777777" w:rsidR="008B4A14" w:rsidRPr="008B4A14" w:rsidRDefault="008B4A14" w:rsidP="008B4A14">
            <w:pPr>
              <w:spacing w:after="0" w:line="240" w:lineRule="auto"/>
              <w:rPr>
                <w:rFonts w:asciiTheme="majorHAnsi" w:eastAsia="Times New Roman" w:hAnsiTheme="majorHAnsi" w:cstheme="majorHAnsi"/>
                <w:b/>
                <w:bCs/>
                <w:color w:val="FFFFFF"/>
                <w:sz w:val="18"/>
                <w:szCs w:val="18"/>
                <w:lang w:eastAsia="es-CO"/>
              </w:rPr>
            </w:pPr>
          </w:p>
        </w:tc>
        <w:tc>
          <w:tcPr>
            <w:tcW w:w="1308" w:type="pct"/>
            <w:vMerge/>
            <w:tcBorders>
              <w:top w:val="single" w:sz="8" w:space="0" w:color="auto"/>
              <w:left w:val="single" w:sz="4" w:space="0" w:color="auto"/>
              <w:bottom w:val="single" w:sz="8" w:space="0" w:color="000000"/>
              <w:right w:val="single" w:sz="4" w:space="0" w:color="auto"/>
            </w:tcBorders>
            <w:vAlign w:val="center"/>
            <w:hideMark/>
          </w:tcPr>
          <w:p w14:paraId="75364266" w14:textId="77777777" w:rsidR="008B4A14" w:rsidRPr="008B4A14" w:rsidRDefault="008B4A14" w:rsidP="008B4A14">
            <w:pPr>
              <w:spacing w:after="0" w:line="240" w:lineRule="auto"/>
              <w:rPr>
                <w:rFonts w:asciiTheme="majorHAnsi" w:eastAsia="Times New Roman" w:hAnsiTheme="majorHAnsi" w:cstheme="majorHAnsi"/>
                <w:b/>
                <w:bCs/>
                <w:color w:val="FFFFFF"/>
                <w:sz w:val="18"/>
                <w:szCs w:val="18"/>
                <w:lang w:eastAsia="es-CO"/>
              </w:rPr>
            </w:pPr>
          </w:p>
        </w:tc>
        <w:tc>
          <w:tcPr>
            <w:tcW w:w="671" w:type="pct"/>
            <w:vMerge/>
            <w:tcBorders>
              <w:top w:val="single" w:sz="8" w:space="0" w:color="auto"/>
              <w:left w:val="single" w:sz="4" w:space="0" w:color="auto"/>
              <w:bottom w:val="single" w:sz="8" w:space="0" w:color="000000"/>
              <w:right w:val="single" w:sz="4" w:space="0" w:color="auto"/>
            </w:tcBorders>
            <w:vAlign w:val="center"/>
            <w:hideMark/>
          </w:tcPr>
          <w:p w14:paraId="3D9E4881" w14:textId="77777777" w:rsidR="008B4A14" w:rsidRPr="008B4A14" w:rsidRDefault="008B4A14" w:rsidP="008B4A14">
            <w:pPr>
              <w:spacing w:after="0" w:line="240" w:lineRule="auto"/>
              <w:rPr>
                <w:rFonts w:asciiTheme="majorHAnsi" w:eastAsia="Times New Roman" w:hAnsiTheme="majorHAnsi" w:cstheme="majorHAnsi"/>
                <w:b/>
                <w:bCs/>
                <w:color w:val="FFFFFF"/>
                <w:sz w:val="18"/>
                <w:szCs w:val="18"/>
                <w:lang w:eastAsia="es-CO"/>
              </w:rPr>
            </w:pPr>
          </w:p>
        </w:tc>
        <w:tc>
          <w:tcPr>
            <w:tcW w:w="672" w:type="pct"/>
            <w:vMerge/>
            <w:tcBorders>
              <w:top w:val="single" w:sz="8" w:space="0" w:color="auto"/>
              <w:left w:val="single" w:sz="4" w:space="0" w:color="auto"/>
              <w:bottom w:val="single" w:sz="8" w:space="0" w:color="000000"/>
              <w:right w:val="single" w:sz="4" w:space="0" w:color="auto"/>
            </w:tcBorders>
            <w:vAlign w:val="center"/>
            <w:hideMark/>
          </w:tcPr>
          <w:p w14:paraId="7C5043AB" w14:textId="77777777" w:rsidR="008B4A14" w:rsidRPr="008B4A14" w:rsidRDefault="008B4A14" w:rsidP="008B4A14">
            <w:pPr>
              <w:spacing w:after="0" w:line="240" w:lineRule="auto"/>
              <w:rPr>
                <w:rFonts w:asciiTheme="majorHAnsi" w:eastAsia="Times New Roman" w:hAnsiTheme="majorHAnsi" w:cstheme="majorHAnsi"/>
                <w:b/>
                <w:bCs/>
                <w:color w:val="FFFFFF"/>
                <w:sz w:val="18"/>
                <w:szCs w:val="18"/>
                <w:lang w:eastAsia="es-CO"/>
              </w:rPr>
            </w:pPr>
          </w:p>
        </w:tc>
        <w:tc>
          <w:tcPr>
            <w:tcW w:w="670" w:type="pct"/>
            <w:vMerge/>
            <w:tcBorders>
              <w:top w:val="single" w:sz="8" w:space="0" w:color="auto"/>
              <w:left w:val="single" w:sz="4" w:space="0" w:color="auto"/>
              <w:bottom w:val="single" w:sz="8" w:space="0" w:color="000000"/>
              <w:right w:val="single" w:sz="4" w:space="0" w:color="auto"/>
            </w:tcBorders>
            <w:vAlign w:val="center"/>
            <w:hideMark/>
          </w:tcPr>
          <w:p w14:paraId="2E40E9EA" w14:textId="77777777" w:rsidR="008B4A14" w:rsidRPr="008B4A14" w:rsidRDefault="008B4A14" w:rsidP="008B4A14">
            <w:pPr>
              <w:spacing w:after="0" w:line="240" w:lineRule="auto"/>
              <w:rPr>
                <w:rFonts w:asciiTheme="majorHAnsi" w:eastAsia="Times New Roman" w:hAnsiTheme="majorHAnsi" w:cstheme="majorHAnsi"/>
                <w:b/>
                <w:bCs/>
                <w:color w:val="FFFFFF"/>
                <w:sz w:val="18"/>
                <w:szCs w:val="18"/>
                <w:lang w:eastAsia="es-CO"/>
              </w:rPr>
            </w:pPr>
          </w:p>
        </w:tc>
        <w:tc>
          <w:tcPr>
            <w:tcW w:w="233" w:type="pct"/>
            <w:tcBorders>
              <w:top w:val="nil"/>
              <w:left w:val="nil"/>
              <w:bottom w:val="nil"/>
              <w:right w:val="single" w:sz="4" w:space="0" w:color="auto"/>
            </w:tcBorders>
            <w:shd w:val="clear" w:color="4472C4" w:fill="2F75B5"/>
            <w:vAlign w:val="center"/>
            <w:hideMark/>
          </w:tcPr>
          <w:p w14:paraId="0B5A73FA"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6"/>
                <w:szCs w:val="16"/>
                <w:lang w:eastAsia="es-CO"/>
              </w:rPr>
            </w:pPr>
            <w:r w:rsidRPr="008B4A14">
              <w:rPr>
                <w:rFonts w:asciiTheme="majorHAnsi" w:eastAsia="Times New Roman" w:hAnsiTheme="majorHAnsi" w:cstheme="majorHAnsi"/>
                <w:b/>
                <w:bCs/>
                <w:color w:val="FFFFFF"/>
                <w:sz w:val="16"/>
                <w:szCs w:val="16"/>
                <w:lang w:eastAsia="es-CO"/>
              </w:rPr>
              <w:t>ENE</w:t>
            </w:r>
          </w:p>
        </w:tc>
        <w:tc>
          <w:tcPr>
            <w:tcW w:w="230" w:type="pct"/>
            <w:tcBorders>
              <w:top w:val="nil"/>
              <w:left w:val="nil"/>
              <w:bottom w:val="nil"/>
              <w:right w:val="single" w:sz="4" w:space="0" w:color="auto"/>
            </w:tcBorders>
            <w:shd w:val="clear" w:color="4472C4" w:fill="2F75B5"/>
            <w:vAlign w:val="center"/>
            <w:hideMark/>
          </w:tcPr>
          <w:p w14:paraId="281FF99D"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6"/>
                <w:szCs w:val="16"/>
                <w:lang w:eastAsia="es-CO"/>
              </w:rPr>
            </w:pPr>
            <w:r w:rsidRPr="008B4A14">
              <w:rPr>
                <w:rFonts w:asciiTheme="majorHAnsi" w:eastAsia="Times New Roman" w:hAnsiTheme="majorHAnsi" w:cstheme="majorHAnsi"/>
                <w:b/>
                <w:bCs/>
                <w:color w:val="FFFFFF"/>
                <w:sz w:val="16"/>
                <w:szCs w:val="16"/>
                <w:lang w:eastAsia="es-CO"/>
              </w:rPr>
              <w:t>FEB</w:t>
            </w:r>
          </w:p>
        </w:tc>
        <w:tc>
          <w:tcPr>
            <w:tcW w:w="278" w:type="pct"/>
            <w:tcBorders>
              <w:top w:val="nil"/>
              <w:left w:val="nil"/>
              <w:bottom w:val="nil"/>
              <w:right w:val="single" w:sz="4" w:space="0" w:color="auto"/>
            </w:tcBorders>
            <w:shd w:val="clear" w:color="4472C4" w:fill="2F75B5"/>
            <w:vAlign w:val="center"/>
            <w:hideMark/>
          </w:tcPr>
          <w:p w14:paraId="6DB7D3EC"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6"/>
                <w:szCs w:val="16"/>
                <w:lang w:eastAsia="es-CO"/>
              </w:rPr>
            </w:pPr>
            <w:r w:rsidRPr="008B4A14">
              <w:rPr>
                <w:rFonts w:asciiTheme="majorHAnsi" w:eastAsia="Times New Roman" w:hAnsiTheme="majorHAnsi" w:cstheme="majorHAnsi"/>
                <w:b/>
                <w:bCs/>
                <w:color w:val="FFFFFF"/>
                <w:sz w:val="16"/>
                <w:szCs w:val="16"/>
                <w:lang w:eastAsia="es-CO"/>
              </w:rPr>
              <w:t>MAR</w:t>
            </w:r>
          </w:p>
        </w:tc>
        <w:tc>
          <w:tcPr>
            <w:tcW w:w="246" w:type="pct"/>
            <w:tcBorders>
              <w:top w:val="nil"/>
              <w:left w:val="nil"/>
              <w:bottom w:val="nil"/>
              <w:right w:val="single" w:sz="4" w:space="0" w:color="auto"/>
            </w:tcBorders>
            <w:shd w:val="clear" w:color="4472C4" w:fill="2F75B5"/>
            <w:vAlign w:val="center"/>
            <w:hideMark/>
          </w:tcPr>
          <w:p w14:paraId="404A0769"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6"/>
                <w:szCs w:val="16"/>
                <w:lang w:eastAsia="es-CO"/>
              </w:rPr>
            </w:pPr>
            <w:r w:rsidRPr="008B4A14">
              <w:rPr>
                <w:rFonts w:asciiTheme="majorHAnsi" w:eastAsia="Times New Roman" w:hAnsiTheme="majorHAnsi" w:cstheme="majorHAnsi"/>
                <w:b/>
                <w:bCs/>
                <w:color w:val="FFFFFF"/>
                <w:sz w:val="16"/>
                <w:szCs w:val="16"/>
                <w:lang w:eastAsia="es-CO"/>
              </w:rPr>
              <w:t>ABR</w:t>
            </w:r>
          </w:p>
        </w:tc>
        <w:tc>
          <w:tcPr>
            <w:tcW w:w="280" w:type="pct"/>
            <w:tcBorders>
              <w:top w:val="nil"/>
              <w:left w:val="nil"/>
              <w:bottom w:val="nil"/>
              <w:right w:val="single" w:sz="4" w:space="0" w:color="auto"/>
            </w:tcBorders>
            <w:shd w:val="clear" w:color="4472C4" w:fill="2F75B5"/>
            <w:vAlign w:val="center"/>
            <w:hideMark/>
          </w:tcPr>
          <w:p w14:paraId="730B1897"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6"/>
                <w:szCs w:val="16"/>
                <w:lang w:eastAsia="es-CO"/>
              </w:rPr>
            </w:pPr>
            <w:r w:rsidRPr="008B4A14">
              <w:rPr>
                <w:rFonts w:asciiTheme="majorHAnsi" w:eastAsia="Times New Roman" w:hAnsiTheme="majorHAnsi" w:cstheme="majorHAnsi"/>
                <w:b/>
                <w:bCs/>
                <w:color w:val="FFFFFF"/>
                <w:sz w:val="16"/>
                <w:szCs w:val="16"/>
                <w:lang w:eastAsia="es-CO"/>
              </w:rPr>
              <w:t>MAY</w:t>
            </w:r>
          </w:p>
        </w:tc>
        <w:tc>
          <w:tcPr>
            <w:tcW w:w="232" w:type="pct"/>
            <w:tcBorders>
              <w:top w:val="nil"/>
              <w:left w:val="nil"/>
              <w:bottom w:val="nil"/>
              <w:right w:val="single" w:sz="4" w:space="0" w:color="auto"/>
            </w:tcBorders>
            <w:shd w:val="clear" w:color="4472C4" w:fill="2F75B5"/>
            <w:vAlign w:val="center"/>
            <w:hideMark/>
          </w:tcPr>
          <w:p w14:paraId="0BBB43B5" w14:textId="77777777" w:rsidR="008B4A14" w:rsidRPr="008B4A14" w:rsidRDefault="008B4A14" w:rsidP="008B4A14">
            <w:pPr>
              <w:spacing w:after="0" w:line="240" w:lineRule="auto"/>
              <w:jc w:val="center"/>
              <w:rPr>
                <w:rFonts w:asciiTheme="majorHAnsi" w:eastAsia="Times New Roman" w:hAnsiTheme="majorHAnsi" w:cstheme="majorHAnsi"/>
                <w:b/>
                <w:bCs/>
                <w:color w:val="FFFFFF"/>
                <w:sz w:val="16"/>
                <w:szCs w:val="16"/>
                <w:lang w:eastAsia="es-CO"/>
              </w:rPr>
            </w:pPr>
            <w:r w:rsidRPr="008B4A14">
              <w:rPr>
                <w:rFonts w:asciiTheme="majorHAnsi" w:eastAsia="Times New Roman" w:hAnsiTheme="majorHAnsi" w:cstheme="majorHAnsi"/>
                <w:b/>
                <w:bCs/>
                <w:color w:val="FFFFFF"/>
                <w:sz w:val="16"/>
                <w:szCs w:val="16"/>
                <w:lang w:eastAsia="es-CO"/>
              </w:rPr>
              <w:t>JUN</w:t>
            </w:r>
          </w:p>
        </w:tc>
      </w:tr>
      <w:tr w:rsidR="000A2EAA" w:rsidRPr="0031240F" w14:paraId="70FC1998" w14:textId="77777777" w:rsidTr="00A339E0">
        <w:trPr>
          <w:trHeight w:val="945"/>
        </w:trPr>
        <w:tc>
          <w:tcPr>
            <w:tcW w:w="180" w:type="pct"/>
            <w:tcBorders>
              <w:top w:val="nil"/>
              <w:left w:val="single" w:sz="4" w:space="0" w:color="auto"/>
              <w:bottom w:val="single" w:sz="4" w:space="0" w:color="auto"/>
              <w:right w:val="single" w:sz="4" w:space="0" w:color="auto"/>
            </w:tcBorders>
            <w:shd w:val="clear" w:color="4472C4" w:fill="FFFFFF"/>
            <w:vAlign w:val="center"/>
            <w:hideMark/>
          </w:tcPr>
          <w:p w14:paraId="5580698D" w14:textId="77777777" w:rsidR="008B4A14" w:rsidRPr="008B4A14" w:rsidRDefault="008B4A14"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1</w:t>
            </w:r>
          </w:p>
        </w:tc>
        <w:tc>
          <w:tcPr>
            <w:tcW w:w="1308" w:type="pct"/>
            <w:tcBorders>
              <w:top w:val="nil"/>
              <w:left w:val="nil"/>
              <w:bottom w:val="single" w:sz="4" w:space="0" w:color="auto"/>
              <w:right w:val="single" w:sz="4" w:space="0" w:color="auto"/>
            </w:tcBorders>
            <w:shd w:val="clear" w:color="4472C4" w:fill="FFFFFF"/>
            <w:vAlign w:val="center"/>
            <w:hideMark/>
          </w:tcPr>
          <w:p w14:paraId="3A5E3AE3" w14:textId="3BD6EF53" w:rsidR="008B4A14" w:rsidRPr="008B4A14" w:rsidRDefault="008B4A14" w:rsidP="008B4A14">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Realizar y socializar el Plan de Transición "</w:t>
            </w:r>
            <w:r w:rsidR="007869CD">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vigencia 2025 a nivel interno.</w:t>
            </w:r>
          </w:p>
        </w:tc>
        <w:tc>
          <w:tcPr>
            <w:tcW w:w="671" w:type="pct"/>
            <w:tcBorders>
              <w:top w:val="nil"/>
              <w:left w:val="nil"/>
              <w:bottom w:val="single" w:sz="4" w:space="0" w:color="auto"/>
              <w:right w:val="single" w:sz="4" w:space="0" w:color="auto"/>
            </w:tcBorders>
            <w:shd w:val="clear" w:color="4472C4" w:fill="FFFFFF"/>
            <w:vAlign w:val="center"/>
            <w:hideMark/>
          </w:tcPr>
          <w:p w14:paraId="4C05E92F" w14:textId="77777777" w:rsidR="008B4A14" w:rsidRPr="008B4A14" w:rsidRDefault="008B4A14" w:rsidP="008B4A14">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Plan de Transición socializado</w:t>
            </w:r>
          </w:p>
        </w:tc>
        <w:tc>
          <w:tcPr>
            <w:tcW w:w="672" w:type="pct"/>
            <w:tcBorders>
              <w:top w:val="nil"/>
              <w:left w:val="nil"/>
              <w:bottom w:val="single" w:sz="4" w:space="0" w:color="auto"/>
              <w:right w:val="single" w:sz="4" w:space="0" w:color="auto"/>
            </w:tcBorders>
            <w:shd w:val="clear" w:color="4472C4" w:fill="FFFFFF"/>
            <w:vAlign w:val="center"/>
            <w:hideMark/>
          </w:tcPr>
          <w:p w14:paraId="19CF9E4C" w14:textId="77777777" w:rsidR="008B4A14" w:rsidRPr="008B4A14" w:rsidRDefault="008B4A14"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4CF88481" w14:textId="77777777" w:rsidR="008B4A14" w:rsidRPr="008B4A14" w:rsidRDefault="008B4A14"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3" w:type="pct"/>
            <w:tcBorders>
              <w:top w:val="single" w:sz="4" w:space="0" w:color="auto"/>
              <w:left w:val="nil"/>
              <w:bottom w:val="single" w:sz="4" w:space="0" w:color="auto"/>
              <w:right w:val="single" w:sz="4" w:space="0" w:color="auto"/>
            </w:tcBorders>
            <w:shd w:val="clear" w:color="4472C4" w:fill="AEAAAA"/>
            <w:vAlign w:val="center"/>
            <w:hideMark/>
          </w:tcPr>
          <w:p w14:paraId="750019DC" w14:textId="77777777" w:rsidR="008B4A14" w:rsidRPr="008B4A14" w:rsidRDefault="008B4A14"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0" w:type="pct"/>
            <w:tcBorders>
              <w:top w:val="single" w:sz="4" w:space="0" w:color="auto"/>
              <w:left w:val="nil"/>
              <w:bottom w:val="single" w:sz="4" w:space="0" w:color="auto"/>
              <w:right w:val="single" w:sz="4" w:space="0" w:color="auto"/>
            </w:tcBorders>
            <w:shd w:val="clear" w:color="4472C4" w:fill="FFFFFF"/>
            <w:vAlign w:val="center"/>
            <w:hideMark/>
          </w:tcPr>
          <w:p w14:paraId="1FECF453" w14:textId="77777777" w:rsidR="008B4A14" w:rsidRPr="008B4A14" w:rsidRDefault="008B4A14"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065E11A" w14:textId="77777777" w:rsidR="008B4A14" w:rsidRPr="008B4A14" w:rsidRDefault="008B4A14" w:rsidP="008B4A14">
            <w:pPr>
              <w:spacing w:after="0" w:line="240" w:lineRule="auto"/>
              <w:rPr>
                <w:rFonts w:asciiTheme="majorHAnsi" w:eastAsia="Times New Roman" w:hAnsiTheme="majorHAnsi" w:cstheme="majorHAnsi"/>
                <w:sz w:val="18"/>
                <w:szCs w:val="18"/>
                <w:lang w:eastAsia="es-CO"/>
              </w:rPr>
            </w:pPr>
            <w:r w:rsidRPr="008B4A14">
              <w:rPr>
                <w:rFonts w:asciiTheme="majorHAnsi" w:eastAsia="Times New Roman" w:hAnsiTheme="majorHAnsi" w:cstheme="majorHAnsi"/>
                <w:sz w:val="18"/>
                <w:szCs w:val="18"/>
                <w:lang w:eastAsia="es-CO"/>
              </w:rPr>
              <w:t> </w:t>
            </w:r>
          </w:p>
        </w:tc>
        <w:tc>
          <w:tcPr>
            <w:tcW w:w="246" w:type="pct"/>
            <w:tcBorders>
              <w:top w:val="single" w:sz="4" w:space="0" w:color="auto"/>
              <w:left w:val="nil"/>
              <w:bottom w:val="single" w:sz="4" w:space="0" w:color="auto"/>
              <w:right w:val="single" w:sz="4" w:space="0" w:color="auto"/>
            </w:tcBorders>
            <w:shd w:val="clear" w:color="000000" w:fill="FFFFFF"/>
            <w:noWrap/>
            <w:vAlign w:val="center"/>
            <w:hideMark/>
          </w:tcPr>
          <w:p w14:paraId="3F799131" w14:textId="77777777" w:rsidR="008B4A14" w:rsidRPr="008B4A14" w:rsidRDefault="008B4A14" w:rsidP="008B4A14">
            <w:pPr>
              <w:spacing w:after="0" w:line="240" w:lineRule="auto"/>
              <w:rPr>
                <w:rFonts w:asciiTheme="majorHAnsi" w:eastAsia="Times New Roman" w:hAnsiTheme="majorHAnsi" w:cstheme="majorHAnsi"/>
                <w:sz w:val="18"/>
                <w:szCs w:val="18"/>
                <w:lang w:eastAsia="es-CO"/>
              </w:rPr>
            </w:pPr>
            <w:r w:rsidRPr="008B4A14">
              <w:rPr>
                <w:rFonts w:asciiTheme="majorHAnsi" w:eastAsia="Times New Roman" w:hAnsiTheme="majorHAnsi" w:cstheme="majorHAnsi"/>
                <w:sz w:val="18"/>
                <w:szCs w:val="18"/>
                <w:lang w:eastAsia="es-CO"/>
              </w:rPr>
              <w:t> </w:t>
            </w:r>
          </w:p>
        </w:tc>
        <w:tc>
          <w:tcPr>
            <w:tcW w:w="280" w:type="pct"/>
            <w:tcBorders>
              <w:top w:val="single" w:sz="4" w:space="0" w:color="auto"/>
              <w:left w:val="nil"/>
              <w:bottom w:val="single" w:sz="4" w:space="0" w:color="auto"/>
              <w:right w:val="single" w:sz="4" w:space="0" w:color="auto"/>
            </w:tcBorders>
            <w:shd w:val="clear" w:color="000000" w:fill="FFFFFF"/>
            <w:noWrap/>
            <w:vAlign w:val="center"/>
            <w:hideMark/>
          </w:tcPr>
          <w:p w14:paraId="35C3CA1C" w14:textId="77777777" w:rsidR="008B4A14" w:rsidRPr="008B4A14" w:rsidRDefault="008B4A14" w:rsidP="008B4A14">
            <w:pPr>
              <w:spacing w:after="0" w:line="240" w:lineRule="auto"/>
              <w:rPr>
                <w:rFonts w:asciiTheme="majorHAnsi" w:eastAsia="Times New Roman" w:hAnsiTheme="majorHAnsi" w:cstheme="majorHAnsi"/>
                <w:sz w:val="18"/>
                <w:szCs w:val="18"/>
                <w:lang w:eastAsia="es-CO"/>
              </w:rPr>
            </w:pPr>
            <w:r w:rsidRPr="008B4A14">
              <w:rPr>
                <w:rFonts w:asciiTheme="majorHAnsi" w:eastAsia="Times New Roman" w:hAnsiTheme="majorHAnsi" w:cstheme="majorHAnsi"/>
                <w:sz w:val="18"/>
                <w:szCs w:val="18"/>
                <w:lang w:eastAsia="es-CO"/>
              </w:rPr>
              <w:t> </w:t>
            </w:r>
          </w:p>
        </w:tc>
        <w:tc>
          <w:tcPr>
            <w:tcW w:w="232" w:type="pct"/>
            <w:tcBorders>
              <w:top w:val="single" w:sz="4" w:space="0" w:color="auto"/>
              <w:left w:val="nil"/>
              <w:bottom w:val="single" w:sz="4" w:space="0" w:color="auto"/>
              <w:right w:val="single" w:sz="4" w:space="0" w:color="auto"/>
            </w:tcBorders>
            <w:shd w:val="clear" w:color="000000" w:fill="FFFFFF"/>
            <w:noWrap/>
            <w:vAlign w:val="center"/>
            <w:hideMark/>
          </w:tcPr>
          <w:p w14:paraId="332D6EB0" w14:textId="77777777" w:rsidR="008B4A14" w:rsidRPr="008B4A14" w:rsidRDefault="008B4A14" w:rsidP="008B4A14">
            <w:pPr>
              <w:spacing w:after="0" w:line="240" w:lineRule="auto"/>
              <w:rPr>
                <w:rFonts w:asciiTheme="majorHAnsi" w:eastAsia="Times New Roman" w:hAnsiTheme="majorHAnsi" w:cstheme="majorHAnsi"/>
                <w:sz w:val="18"/>
                <w:szCs w:val="18"/>
                <w:lang w:eastAsia="es-CO"/>
              </w:rPr>
            </w:pPr>
            <w:r w:rsidRPr="008B4A14">
              <w:rPr>
                <w:rFonts w:asciiTheme="majorHAnsi" w:eastAsia="Times New Roman" w:hAnsiTheme="majorHAnsi" w:cstheme="majorHAnsi"/>
                <w:sz w:val="18"/>
                <w:szCs w:val="18"/>
                <w:lang w:eastAsia="es-CO"/>
              </w:rPr>
              <w:t> </w:t>
            </w:r>
          </w:p>
        </w:tc>
      </w:tr>
      <w:tr w:rsidR="008256C7" w:rsidRPr="0031240F" w14:paraId="1B1B9E76" w14:textId="77777777" w:rsidTr="00A339E0">
        <w:trPr>
          <w:trHeight w:val="945"/>
        </w:trPr>
        <w:tc>
          <w:tcPr>
            <w:tcW w:w="180" w:type="pct"/>
            <w:tcBorders>
              <w:top w:val="nil"/>
              <w:left w:val="single" w:sz="4" w:space="0" w:color="auto"/>
              <w:bottom w:val="single" w:sz="4" w:space="0" w:color="auto"/>
              <w:right w:val="single" w:sz="4" w:space="0" w:color="auto"/>
            </w:tcBorders>
            <w:shd w:val="clear" w:color="4472C4" w:fill="FFFFFF"/>
            <w:vAlign w:val="center"/>
          </w:tcPr>
          <w:p w14:paraId="1C68D494" w14:textId="0D9ACEDD" w:rsidR="008256C7" w:rsidRPr="008B4A14" w:rsidRDefault="008256C7" w:rsidP="008B4A14">
            <w:pPr>
              <w:spacing w:after="0" w:line="240" w:lineRule="auto"/>
              <w:jc w:val="center"/>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2</w:t>
            </w:r>
          </w:p>
        </w:tc>
        <w:tc>
          <w:tcPr>
            <w:tcW w:w="1308" w:type="pct"/>
            <w:tcBorders>
              <w:top w:val="nil"/>
              <w:left w:val="nil"/>
              <w:bottom w:val="single" w:sz="4" w:space="0" w:color="auto"/>
              <w:right w:val="single" w:sz="4" w:space="0" w:color="auto"/>
            </w:tcBorders>
            <w:shd w:val="clear" w:color="4472C4" w:fill="FFFFFF"/>
            <w:vAlign w:val="center"/>
          </w:tcPr>
          <w:p w14:paraId="7CAFF3C6" w14:textId="670F0D9B" w:rsidR="008256C7" w:rsidRPr="008B4A14" w:rsidRDefault="008256C7" w:rsidP="008B4A14">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 xml:space="preserve">Publicar en la sede Electrónica y poner a consideración de la comunidad en general el </w:t>
            </w:r>
            <w:r w:rsidRPr="008B4A14">
              <w:rPr>
                <w:rFonts w:asciiTheme="majorHAnsi" w:eastAsia="Times New Roman" w:hAnsiTheme="majorHAnsi" w:cstheme="majorHAnsi"/>
                <w:b/>
                <w:bCs/>
                <w:sz w:val="18"/>
                <w:szCs w:val="18"/>
                <w:lang w:eastAsia="es-CO"/>
              </w:rPr>
              <w:t>Plan de Transición</w:t>
            </w:r>
            <w:r>
              <w:rPr>
                <w:rFonts w:asciiTheme="majorHAnsi" w:eastAsia="Times New Roman" w:hAnsiTheme="majorHAnsi" w:cstheme="majorHAnsi"/>
                <w:b/>
                <w:bCs/>
                <w:sz w:val="18"/>
                <w:szCs w:val="18"/>
                <w:lang w:eastAsia="es-CO"/>
              </w:rPr>
              <w:t xml:space="preserve"> del programa – PTEP </w:t>
            </w:r>
            <w:r w:rsidRPr="008256C7">
              <w:rPr>
                <w:rFonts w:asciiTheme="majorHAnsi" w:eastAsia="Times New Roman" w:hAnsiTheme="majorHAnsi" w:cstheme="majorHAnsi"/>
                <w:b/>
                <w:bCs/>
                <w:sz w:val="18"/>
                <w:szCs w:val="18"/>
                <w:lang w:eastAsia="es-CO"/>
              </w:rPr>
              <w:t>con el fin de recibir las recomendaciones, sugerencias y retroalimentación</w:t>
            </w:r>
            <w:r>
              <w:rPr>
                <w:rFonts w:asciiTheme="majorHAnsi" w:eastAsia="Times New Roman" w:hAnsiTheme="majorHAnsi" w:cstheme="majorHAnsi"/>
                <w:b/>
                <w:bCs/>
                <w:sz w:val="18"/>
                <w:szCs w:val="18"/>
                <w:lang w:eastAsia="es-CO"/>
              </w:rPr>
              <w:t xml:space="preserve"> del mismo.</w:t>
            </w:r>
          </w:p>
        </w:tc>
        <w:tc>
          <w:tcPr>
            <w:tcW w:w="671" w:type="pct"/>
            <w:tcBorders>
              <w:top w:val="nil"/>
              <w:left w:val="nil"/>
              <w:bottom w:val="single" w:sz="4" w:space="0" w:color="auto"/>
              <w:right w:val="single" w:sz="4" w:space="0" w:color="auto"/>
            </w:tcBorders>
            <w:shd w:val="clear" w:color="4472C4" w:fill="FFFFFF"/>
            <w:vAlign w:val="center"/>
          </w:tcPr>
          <w:p w14:paraId="0527F41C" w14:textId="128D8520" w:rsidR="008256C7" w:rsidRPr="008B4A14" w:rsidRDefault="008256C7" w:rsidP="008B4A14">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Plan de Transición </w:t>
            </w:r>
            <w:r>
              <w:rPr>
                <w:rFonts w:asciiTheme="majorHAnsi" w:eastAsia="Times New Roman" w:hAnsiTheme="majorHAnsi" w:cstheme="majorHAnsi"/>
                <w:b/>
                <w:bCs/>
                <w:sz w:val="18"/>
                <w:szCs w:val="18"/>
                <w:lang w:eastAsia="es-CO"/>
              </w:rPr>
              <w:t>publicado</w:t>
            </w:r>
          </w:p>
        </w:tc>
        <w:tc>
          <w:tcPr>
            <w:tcW w:w="672" w:type="pct"/>
            <w:tcBorders>
              <w:top w:val="nil"/>
              <w:left w:val="nil"/>
              <w:bottom w:val="single" w:sz="4" w:space="0" w:color="auto"/>
              <w:right w:val="single" w:sz="4" w:space="0" w:color="auto"/>
            </w:tcBorders>
            <w:shd w:val="clear" w:color="4472C4" w:fill="FFFFFF"/>
            <w:vAlign w:val="center"/>
          </w:tcPr>
          <w:p w14:paraId="68CC8F57" w14:textId="767E0BEC" w:rsidR="008256C7" w:rsidRPr="008B4A14" w:rsidRDefault="008256C7"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tcPr>
          <w:p w14:paraId="0AA3ED27" w14:textId="6A93C9CF" w:rsidR="008256C7" w:rsidRPr="008B4A14" w:rsidRDefault="008256C7" w:rsidP="008B4A14">
            <w:pPr>
              <w:spacing w:after="0" w:line="240" w:lineRule="auto"/>
              <w:jc w:val="center"/>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Dirección Administrativa de las TIC</w:t>
            </w:r>
          </w:p>
        </w:tc>
        <w:tc>
          <w:tcPr>
            <w:tcW w:w="233" w:type="pct"/>
            <w:tcBorders>
              <w:top w:val="single" w:sz="4" w:space="0" w:color="auto"/>
              <w:left w:val="nil"/>
              <w:bottom w:val="single" w:sz="4" w:space="0" w:color="auto"/>
              <w:right w:val="single" w:sz="4" w:space="0" w:color="auto"/>
            </w:tcBorders>
            <w:shd w:val="clear" w:color="auto" w:fill="auto"/>
            <w:vAlign w:val="center"/>
          </w:tcPr>
          <w:p w14:paraId="4DCD9DE6" w14:textId="77777777" w:rsidR="008256C7" w:rsidRPr="008B4A14" w:rsidRDefault="008256C7" w:rsidP="008B4A14">
            <w:pPr>
              <w:spacing w:after="0" w:line="240" w:lineRule="auto"/>
              <w:jc w:val="center"/>
              <w:rPr>
                <w:rFonts w:asciiTheme="majorHAnsi" w:eastAsia="Times New Roman" w:hAnsiTheme="majorHAnsi" w:cstheme="majorHAnsi"/>
                <w:b/>
                <w:bCs/>
                <w:sz w:val="18"/>
                <w:szCs w:val="18"/>
                <w:lang w:eastAsia="es-CO"/>
              </w:rPr>
            </w:pPr>
          </w:p>
        </w:tc>
        <w:tc>
          <w:tcPr>
            <w:tcW w:w="230" w:type="pct"/>
            <w:tcBorders>
              <w:top w:val="single" w:sz="4" w:space="0" w:color="auto"/>
              <w:left w:val="nil"/>
              <w:bottom w:val="single" w:sz="4" w:space="0" w:color="auto"/>
              <w:right w:val="single" w:sz="4" w:space="0" w:color="auto"/>
            </w:tcBorders>
            <w:shd w:val="clear" w:color="auto" w:fill="AEAAAA" w:themeFill="background2" w:themeFillShade="BF"/>
            <w:vAlign w:val="center"/>
          </w:tcPr>
          <w:p w14:paraId="642F6B40" w14:textId="4124FC20" w:rsidR="008256C7" w:rsidRPr="008B4A14" w:rsidRDefault="008256C7" w:rsidP="008B4A14">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78" w:type="pct"/>
            <w:tcBorders>
              <w:top w:val="single" w:sz="4" w:space="0" w:color="auto"/>
              <w:left w:val="nil"/>
              <w:bottom w:val="single" w:sz="4" w:space="0" w:color="auto"/>
              <w:right w:val="single" w:sz="4" w:space="0" w:color="auto"/>
            </w:tcBorders>
            <w:shd w:val="clear" w:color="000000" w:fill="FFFFFF"/>
            <w:noWrap/>
            <w:vAlign w:val="center"/>
          </w:tcPr>
          <w:p w14:paraId="0A326945" w14:textId="77777777" w:rsidR="008256C7" w:rsidRPr="008B4A14" w:rsidRDefault="008256C7" w:rsidP="008B4A14">
            <w:pPr>
              <w:spacing w:after="0" w:line="240" w:lineRule="auto"/>
              <w:rPr>
                <w:rFonts w:asciiTheme="majorHAnsi" w:eastAsia="Times New Roman" w:hAnsiTheme="majorHAnsi" w:cstheme="majorHAnsi"/>
                <w:sz w:val="18"/>
                <w:szCs w:val="18"/>
                <w:lang w:eastAsia="es-CO"/>
              </w:rPr>
            </w:pPr>
          </w:p>
        </w:tc>
        <w:tc>
          <w:tcPr>
            <w:tcW w:w="246" w:type="pct"/>
            <w:tcBorders>
              <w:top w:val="single" w:sz="4" w:space="0" w:color="auto"/>
              <w:left w:val="nil"/>
              <w:bottom w:val="single" w:sz="4" w:space="0" w:color="auto"/>
              <w:right w:val="single" w:sz="4" w:space="0" w:color="auto"/>
            </w:tcBorders>
            <w:shd w:val="clear" w:color="000000" w:fill="FFFFFF"/>
            <w:noWrap/>
            <w:vAlign w:val="center"/>
          </w:tcPr>
          <w:p w14:paraId="4AFD2893" w14:textId="77777777" w:rsidR="008256C7" w:rsidRPr="008B4A14" w:rsidRDefault="008256C7" w:rsidP="008B4A14">
            <w:pPr>
              <w:spacing w:after="0" w:line="240" w:lineRule="auto"/>
              <w:rPr>
                <w:rFonts w:asciiTheme="majorHAnsi" w:eastAsia="Times New Roman" w:hAnsiTheme="majorHAnsi" w:cstheme="majorHAnsi"/>
                <w:sz w:val="18"/>
                <w:szCs w:val="18"/>
                <w:lang w:eastAsia="es-CO"/>
              </w:rPr>
            </w:pPr>
          </w:p>
        </w:tc>
        <w:tc>
          <w:tcPr>
            <w:tcW w:w="280" w:type="pct"/>
            <w:tcBorders>
              <w:top w:val="single" w:sz="4" w:space="0" w:color="auto"/>
              <w:left w:val="nil"/>
              <w:bottom w:val="single" w:sz="4" w:space="0" w:color="auto"/>
              <w:right w:val="single" w:sz="4" w:space="0" w:color="auto"/>
            </w:tcBorders>
            <w:shd w:val="clear" w:color="000000" w:fill="FFFFFF"/>
            <w:noWrap/>
            <w:vAlign w:val="center"/>
          </w:tcPr>
          <w:p w14:paraId="6D0A6531" w14:textId="77777777" w:rsidR="008256C7" w:rsidRPr="008B4A14" w:rsidRDefault="008256C7" w:rsidP="008B4A14">
            <w:pPr>
              <w:spacing w:after="0" w:line="240" w:lineRule="auto"/>
              <w:rPr>
                <w:rFonts w:asciiTheme="majorHAnsi" w:eastAsia="Times New Roman" w:hAnsiTheme="majorHAnsi" w:cstheme="majorHAnsi"/>
                <w:sz w:val="18"/>
                <w:szCs w:val="18"/>
                <w:lang w:eastAsia="es-CO"/>
              </w:rPr>
            </w:pPr>
          </w:p>
        </w:tc>
        <w:tc>
          <w:tcPr>
            <w:tcW w:w="232" w:type="pct"/>
            <w:tcBorders>
              <w:top w:val="single" w:sz="4" w:space="0" w:color="auto"/>
              <w:left w:val="nil"/>
              <w:bottom w:val="single" w:sz="4" w:space="0" w:color="auto"/>
              <w:right w:val="single" w:sz="4" w:space="0" w:color="auto"/>
            </w:tcBorders>
            <w:shd w:val="clear" w:color="000000" w:fill="FFFFFF"/>
            <w:noWrap/>
            <w:vAlign w:val="center"/>
          </w:tcPr>
          <w:p w14:paraId="42D9082E" w14:textId="77777777" w:rsidR="008256C7" w:rsidRPr="008B4A14" w:rsidRDefault="008256C7" w:rsidP="008B4A14">
            <w:pPr>
              <w:spacing w:after="0" w:line="240" w:lineRule="auto"/>
              <w:rPr>
                <w:rFonts w:asciiTheme="majorHAnsi" w:eastAsia="Times New Roman" w:hAnsiTheme="majorHAnsi" w:cstheme="majorHAnsi"/>
                <w:sz w:val="18"/>
                <w:szCs w:val="18"/>
                <w:lang w:eastAsia="es-CO"/>
              </w:rPr>
            </w:pPr>
          </w:p>
        </w:tc>
      </w:tr>
      <w:tr w:rsidR="008256C7" w:rsidRPr="0031240F" w14:paraId="58299062" w14:textId="77777777" w:rsidTr="00A339E0">
        <w:trPr>
          <w:trHeight w:val="1260"/>
        </w:trPr>
        <w:tc>
          <w:tcPr>
            <w:tcW w:w="180" w:type="pct"/>
            <w:tcBorders>
              <w:top w:val="nil"/>
              <w:left w:val="single" w:sz="4" w:space="0" w:color="auto"/>
              <w:bottom w:val="single" w:sz="4" w:space="0" w:color="auto"/>
              <w:right w:val="single" w:sz="4" w:space="0" w:color="auto"/>
            </w:tcBorders>
            <w:shd w:val="clear" w:color="4472C4" w:fill="FFFFFF"/>
            <w:vAlign w:val="center"/>
            <w:hideMark/>
          </w:tcPr>
          <w:p w14:paraId="126EDD40" w14:textId="5DCE9F95"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3</w:t>
            </w:r>
          </w:p>
        </w:tc>
        <w:tc>
          <w:tcPr>
            <w:tcW w:w="1308" w:type="pct"/>
            <w:tcBorders>
              <w:top w:val="nil"/>
              <w:left w:val="nil"/>
              <w:bottom w:val="single" w:sz="4" w:space="0" w:color="auto"/>
              <w:right w:val="single" w:sz="4" w:space="0" w:color="auto"/>
            </w:tcBorders>
            <w:shd w:val="clear" w:color="4472C4" w:fill="FFFFFF"/>
            <w:vAlign w:val="center"/>
            <w:hideMark/>
          </w:tcPr>
          <w:p w14:paraId="422A8BA2" w14:textId="3FA81C51"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Definir y desarrollar estrategias de socialización sobre la transición del Plan Anticorrupción y de Atención al ciudadano antes PAAC al </w:t>
            </w:r>
            <w:r>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xml:space="preserve"> </w:t>
            </w:r>
            <w:r>
              <w:rPr>
                <w:rFonts w:asciiTheme="majorHAnsi" w:eastAsia="Times New Roman" w:hAnsiTheme="majorHAnsi" w:cstheme="majorHAnsi"/>
                <w:b/>
                <w:bCs/>
                <w:sz w:val="18"/>
                <w:szCs w:val="18"/>
                <w:lang w:eastAsia="es-CO"/>
              </w:rPr>
              <w:t xml:space="preserve">– PTEP </w:t>
            </w:r>
            <w:r w:rsidRPr="008B4A14">
              <w:rPr>
                <w:rFonts w:asciiTheme="majorHAnsi" w:eastAsia="Times New Roman" w:hAnsiTheme="majorHAnsi" w:cstheme="majorHAnsi"/>
                <w:b/>
                <w:bCs/>
                <w:sz w:val="18"/>
                <w:szCs w:val="18"/>
                <w:lang w:eastAsia="es-CO"/>
              </w:rPr>
              <w:t>con los actores internos y externos.</w:t>
            </w:r>
          </w:p>
        </w:tc>
        <w:tc>
          <w:tcPr>
            <w:tcW w:w="671" w:type="pct"/>
            <w:tcBorders>
              <w:top w:val="nil"/>
              <w:left w:val="nil"/>
              <w:bottom w:val="single" w:sz="4" w:space="0" w:color="auto"/>
              <w:right w:val="single" w:sz="4" w:space="0" w:color="auto"/>
            </w:tcBorders>
            <w:shd w:val="clear" w:color="4472C4" w:fill="FFFFFF"/>
            <w:vAlign w:val="center"/>
            <w:hideMark/>
          </w:tcPr>
          <w:p w14:paraId="753BA635"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Socializaciones, asesorías, difusión de piezas graficas, entre otros.</w:t>
            </w:r>
          </w:p>
        </w:tc>
        <w:tc>
          <w:tcPr>
            <w:tcW w:w="672" w:type="pct"/>
            <w:tcBorders>
              <w:top w:val="nil"/>
              <w:left w:val="nil"/>
              <w:bottom w:val="single" w:sz="4" w:space="0" w:color="auto"/>
              <w:right w:val="single" w:sz="4" w:space="0" w:color="auto"/>
            </w:tcBorders>
            <w:shd w:val="clear" w:color="4472C4" w:fill="FFFFFF"/>
            <w:vAlign w:val="center"/>
            <w:hideMark/>
          </w:tcPr>
          <w:p w14:paraId="0C642FBA"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7A87986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las Comunicaciones</w:t>
            </w:r>
          </w:p>
        </w:tc>
        <w:tc>
          <w:tcPr>
            <w:tcW w:w="233" w:type="pct"/>
            <w:tcBorders>
              <w:top w:val="nil"/>
              <w:left w:val="nil"/>
              <w:bottom w:val="single" w:sz="4" w:space="0" w:color="auto"/>
              <w:right w:val="single" w:sz="4" w:space="0" w:color="auto"/>
            </w:tcBorders>
            <w:shd w:val="clear" w:color="4472C4" w:fill="FFFFFF"/>
            <w:vAlign w:val="center"/>
            <w:hideMark/>
          </w:tcPr>
          <w:p w14:paraId="3EEEC392"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AEAAAA"/>
            <w:vAlign w:val="center"/>
            <w:hideMark/>
          </w:tcPr>
          <w:p w14:paraId="68D1803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78" w:type="pct"/>
            <w:tcBorders>
              <w:top w:val="nil"/>
              <w:left w:val="nil"/>
              <w:bottom w:val="single" w:sz="4" w:space="0" w:color="auto"/>
              <w:right w:val="single" w:sz="4" w:space="0" w:color="auto"/>
            </w:tcBorders>
            <w:shd w:val="clear" w:color="4472C4" w:fill="FFFFFF"/>
            <w:vAlign w:val="center"/>
            <w:hideMark/>
          </w:tcPr>
          <w:p w14:paraId="482FD4EE"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46" w:type="pct"/>
            <w:tcBorders>
              <w:top w:val="nil"/>
              <w:left w:val="nil"/>
              <w:bottom w:val="single" w:sz="4" w:space="0" w:color="auto"/>
              <w:right w:val="single" w:sz="4" w:space="0" w:color="auto"/>
            </w:tcBorders>
            <w:shd w:val="clear" w:color="4472C4" w:fill="FFFFFF"/>
            <w:vAlign w:val="center"/>
            <w:hideMark/>
          </w:tcPr>
          <w:p w14:paraId="6E089556"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80" w:type="pct"/>
            <w:tcBorders>
              <w:top w:val="nil"/>
              <w:left w:val="nil"/>
              <w:bottom w:val="single" w:sz="4" w:space="0" w:color="auto"/>
              <w:right w:val="single" w:sz="4" w:space="0" w:color="auto"/>
            </w:tcBorders>
            <w:shd w:val="clear" w:color="4472C4" w:fill="FFFFFF"/>
            <w:vAlign w:val="center"/>
            <w:hideMark/>
          </w:tcPr>
          <w:p w14:paraId="5A55ED2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2" w:type="pct"/>
            <w:tcBorders>
              <w:top w:val="nil"/>
              <w:left w:val="nil"/>
              <w:bottom w:val="single" w:sz="4" w:space="0" w:color="auto"/>
              <w:right w:val="single" w:sz="4" w:space="0" w:color="auto"/>
            </w:tcBorders>
            <w:shd w:val="clear" w:color="4472C4" w:fill="FFFFFF"/>
            <w:vAlign w:val="center"/>
            <w:hideMark/>
          </w:tcPr>
          <w:p w14:paraId="2D77634F"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r>
      <w:tr w:rsidR="008256C7" w:rsidRPr="0031240F" w14:paraId="1A48B8AA" w14:textId="77777777" w:rsidTr="00A339E0">
        <w:trPr>
          <w:trHeight w:val="945"/>
        </w:trPr>
        <w:tc>
          <w:tcPr>
            <w:tcW w:w="180" w:type="pct"/>
            <w:tcBorders>
              <w:top w:val="nil"/>
              <w:left w:val="single" w:sz="4" w:space="0" w:color="auto"/>
              <w:bottom w:val="single" w:sz="4" w:space="0" w:color="auto"/>
              <w:right w:val="single" w:sz="4" w:space="0" w:color="auto"/>
            </w:tcBorders>
            <w:shd w:val="clear" w:color="4472C4" w:fill="FFFFFF"/>
            <w:vAlign w:val="center"/>
          </w:tcPr>
          <w:p w14:paraId="4D94F2C4" w14:textId="5ACCFB28"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t>4</w:t>
            </w:r>
          </w:p>
        </w:tc>
        <w:tc>
          <w:tcPr>
            <w:tcW w:w="1308" w:type="pct"/>
            <w:tcBorders>
              <w:top w:val="nil"/>
              <w:left w:val="nil"/>
              <w:bottom w:val="single" w:sz="4" w:space="0" w:color="auto"/>
              <w:right w:val="single" w:sz="4" w:space="0" w:color="auto"/>
            </w:tcBorders>
            <w:shd w:val="clear" w:color="4472C4" w:fill="FFFFFF"/>
            <w:vAlign w:val="center"/>
            <w:hideMark/>
          </w:tcPr>
          <w:p w14:paraId="66322A02" w14:textId="2F532F1C"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Análisis </w:t>
            </w:r>
            <w:r w:rsidRPr="0031240F">
              <w:rPr>
                <w:rFonts w:asciiTheme="majorHAnsi" w:eastAsia="Times New Roman" w:hAnsiTheme="majorHAnsi" w:cstheme="majorHAnsi"/>
                <w:b/>
                <w:bCs/>
                <w:sz w:val="18"/>
                <w:szCs w:val="18"/>
                <w:lang w:eastAsia="es-CO"/>
              </w:rPr>
              <w:t>del resultado</w:t>
            </w:r>
            <w:r w:rsidRPr="008B4A14">
              <w:rPr>
                <w:rFonts w:asciiTheme="majorHAnsi" w:eastAsia="Times New Roman" w:hAnsiTheme="majorHAnsi" w:cstheme="majorHAnsi"/>
                <w:b/>
                <w:bCs/>
                <w:sz w:val="18"/>
                <w:szCs w:val="18"/>
                <w:lang w:eastAsia="es-CO"/>
              </w:rPr>
              <w:t xml:space="preserve"> de la evaluación del PAAC 2024 para la construcción del </w:t>
            </w:r>
            <w:r>
              <w:rPr>
                <w:rFonts w:asciiTheme="majorHAnsi" w:eastAsia="Times New Roman" w:hAnsiTheme="majorHAnsi" w:cstheme="majorHAnsi"/>
                <w:b/>
                <w:bCs/>
                <w:sz w:val="18"/>
                <w:szCs w:val="18"/>
                <w:lang w:eastAsia="es-CO"/>
              </w:rPr>
              <w:t>Programa de Transparencia y Ética Pública.</w:t>
            </w:r>
          </w:p>
        </w:tc>
        <w:tc>
          <w:tcPr>
            <w:tcW w:w="671" w:type="pct"/>
            <w:tcBorders>
              <w:top w:val="nil"/>
              <w:left w:val="nil"/>
              <w:bottom w:val="single" w:sz="4" w:space="0" w:color="auto"/>
              <w:right w:val="single" w:sz="4" w:space="0" w:color="auto"/>
            </w:tcBorders>
            <w:shd w:val="clear" w:color="4472C4" w:fill="FFFFFF"/>
            <w:vAlign w:val="center"/>
            <w:hideMark/>
          </w:tcPr>
          <w:p w14:paraId="2D8282A4" w14:textId="373040C4"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xml:space="preserve"> Publica 2025</w:t>
            </w:r>
          </w:p>
        </w:tc>
        <w:tc>
          <w:tcPr>
            <w:tcW w:w="672" w:type="pct"/>
            <w:tcBorders>
              <w:top w:val="nil"/>
              <w:left w:val="nil"/>
              <w:bottom w:val="single" w:sz="4" w:space="0" w:color="auto"/>
              <w:right w:val="single" w:sz="4" w:space="0" w:color="auto"/>
            </w:tcBorders>
            <w:shd w:val="clear" w:color="4472C4" w:fill="FFFFFF"/>
            <w:vAlign w:val="center"/>
            <w:hideMark/>
          </w:tcPr>
          <w:p w14:paraId="02DAA75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1952A5AD"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4472C4" w:fill="FFFFFF"/>
            <w:vAlign w:val="center"/>
            <w:hideMark/>
          </w:tcPr>
          <w:p w14:paraId="12AA9500"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AEAAAA"/>
            <w:vAlign w:val="center"/>
            <w:hideMark/>
          </w:tcPr>
          <w:p w14:paraId="3522DF7E"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78" w:type="pct"/>
            <w:tcBorders>
              <w:top w:val="nil"/>
              <w:left w:val="nil"/>
              <w:bottom w:val="single" w:sz="4" w:space="0" w:color="auto"/>
              <w:right w:val="single" w:sz="4" w:space="0" w:color="auto"/>
            </w:tcBorders>
            <w:shd w:val="clear" w:color="4472C4" w:fill="FFFFFF"/>
            <w:vAlign w:val="center"/>
            <w:hideMark/>
          </w:tcPr>
          <w:p w14:paraId="15E4AAF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46" w:type="pct"/>
            <w:tcBorders>
              <w:top w:val="nil"/>
              <w:left w:val="nil"/>
              <w:bottom w:val="single" w:sz="4" w:space="0" w:color="auto"/>
              <w:right w:val="single" w:sz="4" w:space="0" w:color="auto"/>
            </w:tcBorders>
            <w:shd w:val="clear" w:color="4472C4" w:fill="FFFFFF"/>
            <w:vAlign w:val="center"/>
            <w:hideMark/>
          </w:tcPr>
          <w:p w14:paraId="0080409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80" w:type="pct"/>
            <w:tcBorders>
              <w:top w:val="nil"/>
              <w:left w:val="nil"/>
              <w:bottom w:val="single" w:sz="4" w:space="0" w:color="auto"/>
              <w:right w:val="single" w:sz="4" w:space="0" w:color="auto"/>
            </w:tcBorders>
            <w:shd w:val="clear" w:color="4472C4" w:fill="FFFFFF"/>
            <w:vAlign w:val="center"/>
            <w:hideMark/>
          </w:tcPr>
          <w:p w14:paraId="533ABFCA"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2" w:type="pct"/>
            <w:tcBorders>
              <w:top w:val="nil"/>
              <w:left w:val="nil"/>
              <w:bottom w:val="single" w:sz="4" w:space="0" w:color="auto"/>
              <w:right w:val="single" w:sz="4" w:space="0" w:color="auto"/>
            </w:tcBorders>
            <w:shd w:val="clear" w:color="4472C4" w:fill="FFFFFF"/>
            <w:vAlign w:val="center"/>
            <w:hideMark/>
          </w:tcPr>
          <w:p w14:paraId="0FDC878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r>
      <w:tr w:rsidR="008256C7" w:rsidRPr="0031240F" w14:paraId="50A106A0" w14:textId="77777777" w:rsidTr="00A339E0">
        <w:trPr>
          <w:trHeight w:val="1890"/>
        </w:trPr>
        <w:tc>
          <w:tcPr>
            <w:tcW w:w="180" w:type="pct"/>
            <w:tcBorders>
              <w:top w:val="nil"/>
              <w:left w:val="single" w:sz="4" w:space="0" w:color="auto"/>
              <w:bottom w:val="single" w:sz="4" w:space="0" w:color="auto"/>
              <w:right w:val="single" w:sz="4" w:space="0" w:color="auto"/>
            </w:tcBorders>
            <w:shd w:val="clear" w:color="4472C4" w:fill="FFFFFF"/>
            <w:vAlign w:val="center"/>
          </w:tcPr>
          <w:p w14:paraId="255CC173" w14:textId="04CC1A2E"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t>5</w:t>
            </w:r>
          </w:p>
        </w:tc>
        <w:tc>
          <w:tcPr>
            <w:tcW w:w="1308" w:type="pct"/>
            <w:tcBorders>
              <w:top w:val="nil"/>
              <w:left w:val="nil"/>
              <w:bottom w:val="single" w:sz="4" w:space="0" w:color="auto"/>
              <w:right w:val="single" w:sz="4" w:space="0" w:color="auto"/>
            </w:tcBorders>
            <w:shd w:val="clear" w:color="4472C4" w:fill="FFFFFF"/>
            <w:vAlign w:val="center"/>
            <w:hideMark/>
          </w:tcPr>
          <w:p w14:paraId="7276317D" w14:textId="5E538C6E"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Definir los lineamientos metodológicos y documentales para el </w:t>
            </w:r>
            <w:r w:rsidRPr="0031240F">
              <w:rPr>
                <w:rFonts w:asciiTheme="majorHAnsi" w:eastAsia="Times New Roman" w:hAnsiTheme="majorHAnsi" w:cstheme="majorHAnsi"/>
                <w:b/>
                <w:bCs/>
                <w:sz w:val="18"/>
                <w:szCs w:val="18"/>
                <w:lang w:eastAsia="es-CO"/>
              </w:rPr>
              <w:t>monitoreo del</w:t>
            </w:r>
            <w:r w:rsidRPr="008B4A14">
              <w:rPr>
                <w:rFonts w:asciiTheme="majorHAnsi" w:eastAsia="Times New Roman" w:hAnsiTheme="majorHAnsi" w:cstheme="majorHAnsi"/>
                <w:b/>
                <w:bCs/>
                <w:sz w:val="18"/>
                <w:szCs w:val="18"/>
                <w:lang w:eastAsia="es-CO"/>
              </w:rPr>
              <w:t xml:space="preserve"> </w:t>
            </w:r>
            <w:r>
              <w:rPr>
                <w:rFonts w:asciiTheme="majorHAnsi" w:eastAsia="Times New Roman" w:hAnsiTheme="majorHAnsi" w:cstheme="majorHAnsi"/>
                <w:b/>
                <w:bCs/>
                <w:sz w:val="18"/>
                <w:szCs w:val="18"/>
                <w:lang w:eastAsia="es-CO"/>
              </w:rPr>
              <w:t>Programa de Transparencia y Ética Pública.</w:t>
            </w:r>
          </w:p>
        </w:tc>
        <w:tc>
          <w:tcPr>
            <w:tcW w:w="671" w:type="pct"/>
            <w:tcBorders>
              <w:top w:val="nil"/>
              <w:left w:val="nil"/>
              <w:bottom w:val="single" w:sz="4" w:space="0" w:color="auto"/>
              <w:right w:val="single" w:sz="4" w:space="0" w:color="auto"/>
            </w:tcBorders>
            <w:shd w:val="clear" w:color="4472C4" w:fill="FFFFFF"/>
            <w:vAlign w:val="center"/>
            <w:hideMark/>
          </w:tcPr>
          <w:p w14:paraId="3B558B03" w14:textId="14CD41F9"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E</w:t>
            </w:r>
            <w:r w:rsidRPr="008B4A14">
              <w:rPr>
                <w:rFonts w:asciiTheme="majorHAnsi" w:eastAsia="Times New Roman" w:hAnsiTheme="majorHAnsi" w:cstheme="majorHAnsi"/>
                <w:b/>
                <w:bCs/>
                <w:sz w:val="18"/>
                <w:szCs w:val="18"/>
                <w:lang w:eastAsia="es-CO"/>
              </w:rPr>
              <w:t xml:space="preserve">laborar los documentos y lineamientos para el desarrollo de los monitoreos al programa </w:t>
            </w:r>
          </w:p>
        </w:tc>
        <w:tc>
          <w:tcPr>
            <w:tcW w:w="672" w:type="pct"/>
            <w:tcBorders>
              <w:top w:val="nil"/>
              <w:left w:val="nil"/>
              <w:bottom w:val="single" w:sz="4" w:space="0" w:color="auto"/>
              <w:right w:val="single" w:sz="4" w:space="0" w:color="auto"/>
            </w:tcBorders>
            <w:shd w:val="clear" w:color="4472C4" w:fill="FFFFFF"/>
            <w:vAlign w:val="center"/>
            <w:hideMark/>
          </w:tcPr>
          <w:p w14:paraId="5BC2BCA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58CBD58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4472C4" w:fill="FFFFFF"/>
            <w:vAlign w:val="center"/>
            <w:hideMark/>
          </w:tcPr>
          <w:p w14:paraId="1ECAFF0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6CA73DE2"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66FDEEBA"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4472C4" w:fill="AEAAAA"/>
            <w:vAlign w:val="center"/>
            <w:hideMark/>
          </w:tcPr>
          <w:p w14:paraId="36BC378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80" w:type="pct"/>
            <w:tcBorders>
              <w:top w:val="nil"/>
              <w:left w:val="nil"/>
              <w:bottom w:val="single" w:sz="4" w:space="0" w:color="auto"/>
              <w:right w:val="single" w:sz="4" w:space="0" w:color="auto"/>
            </w:tcBorders>
            <w:shd w:val="clear" w:color="4472C4" w:fill="AEAAAA"/>
            <w:vAlign w:val="center"/>
            <w:hideMark/>
          </w:tcPr>
          <w:p w14:paraId="6DAA12D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auto" w:fill="auto"/>
            <w:noWrap/>
            <w:vAlign w:val="center"/>
            <w:hideMark/>
          </w:tcPr>
          <w:p w14:paraId="30A1F782"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r>
      <w:tr w:rsidR="008256C7" w:rsidRPr="0031240F" w14:paraId="720F5E12" w14:textId="77777777" w:rsidTr="00A339E0">
        <w:trPr>
          <w:trHeight w:val="1890"/>
        </w:trPr>
        <w:tc>
          <w:tcPr>
            <w:tcW w:w="180" w:type="pct"/>
            <w:tcBorders>
              <w:top w:val="nil"/>
              <w:left w:val="single" w:sz="4" w:space="0" w:color="auto"/>
              <w:bottom w:val="single" w:sz="4" w:space="0" w:color="auto"/>
              <w:right w:val="single" w:sz="4" w:space="0" w:color="auto"/>
            </w:tcBorders>
            <w:shd w:val="clear" w:color="4472C4" w:fill="FFFFFF"/>
            <w:vAlign w:val="center"/>
          </w:tcPr>
          <w:p w14:paraId="4C87FE24" w14:textId="251518BA"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t>6</w:t>
            </w:r>
          </w:p>
        </w:tc>
        <w:tc>
          <w:tcPr>
            <w:tcW w:w="1308" w:type="pct"/>
            <w:tcBorders>
              <w:top w:val="nil"/>
              <w:left w:val="nil"/>
              <w:bottom w:val="single" w:sz="4" w:space="0" w:color="auto"/>
              <w:right w:val="single" w:sz="4" w:space="0" w:color="auto"/>
            </w:tcBorders>
            <w:shd w:val="clear" w:color="4472C4" w:fill="FFFFFF"/>
            <w:vAlign w:val="center"/>
            <w:hideMark/>
          </w:tcPr>
          <w:p w14:paraId="182D9900" w14:textId="04DE8F30"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Definir los lineamientos metodológicos y documentales para el seguimiento del </w:t>
            </w:r>
            <w:r>
              <w:rPr>
                <w:rFonts w:asciiTheme="majorHAnsi" w:eastAsia="Times New Roman" w:hAnsiTheme="majorHAnsi" w:cstheme="majorHAnsi"/>
                <w:b/>
                <w:bCs/>
                <w:sz w:val="18"/>
                <w:szCs w:val="18"/>
                <w:lang w:eastAsia="es-CO"/>
              </w:rPr>
              <w:t>Programa de Transparencia y Ética Pública.</w:t>
            </w:r>
          </w:p>
        </w:tc>
        <w:tc>
          <w:tcPr>
            <w:tcW w:w="671" w:type="pct"/>
            <w:tcBorders>
              <w:top w:val="nil"/>
              <w:left w:val="nil"/>
              <w:bottom w:val="single" w:sz="4" w:space="0" w:color="auto"/>
              <w:right w:val="single" w:sz="4" w:space="0" w:color="auto"/>
            </w:tcBorders>
            <w:shd w:val="clear" w:color="4472C4" w:fill="FFFFFF"/>
            <w:vAlign w:val="center"/>
            <w:hideMark/>
          </w:tcPr>
          <w:p w14:paraId="28535A63" w14:textId="49AFF76E"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E</w:t>
            </w:r>
            <w:r w:rsidRPr="008B4A14">
              <w:rPr>
                <w:rFonts w:asciiTheme="majorHAnsi" w:eastAsia="Times New Roman" w:hAnsiTheme="majorHAnsi" w:cstheme="majorHAnsi"/>
                <w:b/>
                <w:bCs/>
                <w:sz w:val="18"/>
                <w:szCs w:val="18"/>
                <w:lang w:eastAsia="es-CO"/>
              </w:rPr>
              <w:t xml:space="preserve">laborar los documentos y lineamientos para el desarrollo de los seguimientos al programa </w:t>
            </w:r>
          </w:p>
        </w:tc>
        <w:tc>
          <w:tcPr>
            <w:tcW w:w="672" w:type="pct"/>
            <w:tcBorders>
              <w:top w:val="nil"/>
              <w:left w:val="nil"/>
              <w:bottom w:val="single" w:sz="4" w:space="0" w:color="auto"/>
              <w:right w:val="single" w:sz="4" w:space="0" w:color="auto"/>
            </w:tcBorders>
            <w:shd w:val="clear" w:color="4472C4" w:fill="FFFFFF"/>
            <w:vAlign w:val="center"/>
            <w:hideMark/>
          </w:tcPr>
          <w:p w14:paraId="20BF4316"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647D628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4472C4" w:fill="FFFFFF"/>
            <w:vAlign w:val="center"/>
            <w:hideMark/>
          </w:tcPr>
          <w:p w14:paraId="3939D672"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7AE4A17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30141C97"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4472C4" w:fill="AEAAAA"/>
            <w:vAlign w:val="center"/>
            <w:hideMark/>
          </w:tcPr>
          <w:p w14:paraId="0E99A127"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80" w:type="pct"/>
            <w:tcBorders>
              <w:top w:val="nil"/>
              <w:left w:val="nil"/>
              <w:bottom w:val="single" w:sz="4" w:space="0" w:color="auto"/>
              <w:right w:val="single" w:sz="4" w:space="0" w:color="auto"/>
            </w:tcBorders>
            <w:shd w:val="clear" w:color="4472C4" w:fill="AEAAAA"/>
            <w:vAlign w:val="center"/>
            <w:hideMark/>
          </w:tcPr>
          <w:p w14:paraId="36C815E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auto" w:fill="auto"/>
            <w:noWrap/>
            <w:vAlign w:val="center"/>
            <w:hideMark/>
          </w:tcPr>
          <w:p w14:paraId="34FD3CB9"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r>
      <w:tr w:rsidR="008256C7" w:rsidRPr="0031240F" w14:paraId="22F6D68B" w14:textId="77777777" w:rsidTr="00A339E0">
        <w:trPr>
          <w:trHeight w:val="1380"/>
        </w:trPr>
        <w:tc>
          <w:tcPr>
            <w:tcW w:w="180" w:type="pct"/>
            <w:tcBorders>
              <w:top w:val="nil"/>
              <w:left w:val="single" w:sz="4" w:space="0" w:color="auto"/>
              <w:bottom w:val="single" w:sz="4" w:space="0" w:color="auto"/>
              <w:right w:val="single" w:sz="4" w:space="0" w:color="auto"/>
            </w:tcBorders>
            <w:shd w:val="clear" w:color="4472C4" w:fill="FFFFFF"/>
            <w:vAlign w:val="center"/>
          </w:tcPr>
          <w:p w14:paraId="5298C2B6" w14:textId="35624C05"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lastRenderedPageBreak/>
              <w:t>7</w:t>
            </w:r>
          </w:p>
        </w:tc>
        <w:tc>
          <w:tcPr>
            <w:tcW w:w="1308" w:type="pct"/>
            <w:tcBorders>
              <w:top w:val="nil"/>
              <w:left w:val="nil"/>
              <w:bottom w:val="single" w:sz="4" w:space="0" w:color="auto"/>
              <w:right w:val="single" w:sz="4" w:space="0" w:color="auto"/>
            </w:tcBorders>
            <w:shd w:val="clear" w:color="4472C4" w:fill="FFFFFF"/>
            <w:vAlign w:val="center"/>
            <w:hideMark/>
          </w:tcPr>
          <w:p w14:paraId="4972A8CB" w14:textId="5E346BCA"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Participación en la elaboración de las estrategias preliminares del programa </w:t>
            </w:r>
            <w:r>
              <w:rPr>
                <w:rFonts w:asciiTheme="majorHAnsi" w:eastAsia="Times New Roman" w:hAnsiTheme="majorHAnsi" w:cstheme="majorHAnsi"/>
                <w:b/>
                <w:bCs/>
                <w:sz w:val="18"/>
                <w:szCs w:val="18"/>
                <w:lang w:eastAsia="es-CO"/>
              </w:rPr>
              <w:t xml:space="preserve">- </w:t>
            </w:r>
            <w:r w:rsidRPr="008B4A14">
              <w:rPr>
                <w:rFonts w:asciiTheme="majorHAnsi" w:eastAsia="Times New Roman" w:hAnsiTheme="majorHAnsi" w:cstheme="majorHAnsi"/>
                <w:b/>
                <w:bCs/>
                <w:sz w:val="18"/>
                <w:szCs w:val="18"/>
                <w:lang w:eastAsia="es-CO"/>
              </w:rPr>
              <w:t>PTEP</w:t>
            </w:r>
          </w:p>
        </w:tc>
        <w:tc>
          <w:tcPr>
            <w:tcW w:w="671" w:type="pct"/>
            <w:tcBorders>
              <w:top w:val="nil"/>
              <w:left w:val="nil"/>
              <w:bottom w:val="single" w:sz="4" w:space="0" w:color="auto"/>
              <w:right w:val="single" w:sz="4" w:space="0" w:color="auto"/>
            </w:tcBorders>
            <w:shd w:val="clear" w:color="4472C4" w:fill="FFFFFF"/>
            <w:vAlign w:val="center"/>
            <w:hideMark/>
          </w:tcPr>
          <w:p w14:paraId="4EC24412"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Participación de actores internos y externos</w:t>
            </w:r>
          </w:p>
        </w:tc>
        <w:tc>
          <w:tcPr>
            <w:tcW w:w="672" w:type="pct"/>
            <w:tcBorders>
              <w:top w:val="nil"/>
              <w:left w:val="nil"/>
              <w:bottom w:val="single" w:sz="4" w:space="0" w:color="auto"/>
              <w:right w:val="single" w:sz="4" w:space="0" w:color="auto"/>
            </w:tcBorders>
            <w:shd w:val="clear" w:color="4472C4" w:fill="FFFFFF"/>
            <w:vAlign w:val="center"/>
            <w:hideMark/>
          </w:tcPr>
          <w:p w14:paraId="0DBA359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3BA6AD8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4472C4" w:fill="FFFFFF"/>
            <w:vAlign w:val="center"/>
            <w:hideMark/>
          </w:tcPr>
          <w:p w14:paraId="045C25C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5E22284B"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5F70BFC1"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vAlign w:val="center"/>
            <w:hideMark/>
          </w:tcPr>
          <w:p w14:paraId="03792848" w14:textId="303A83FC"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p>
        </w:tc>
        <w:tc>
          <w:tcPr>
            <w:tcW w:w="280" w:type="pct"/>
            <w:tcBorders>
              <w:top w:val="nil"/>
              <w:left w:val="nil"/>
              <w:bottom w:val="single" w:sz="4" w:space="0" w:color="auto"/>
              <w:right w:val="single" w:sz="4" w:space="0" w:color="auto"/>
            </w:tcBorders>
            <w:shd w:val="clear" w:color="auto" w:fill="AEAAAA" w:themeFill="background2" w:themeFillShade="BF"/>
            <w:noWrap/>
            <w:vAlign w:val="center"/>
            <w:hideMark/>
          </w:tcPr>
          <w:p w14:paraId="5A0B0B7A" w14:textId="659C2CF6" w:rsidR="008256C7" w:rsidRPr="00A339E0" w:rsidRDefault="00A339E0" w:rsidP="00A339E0">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auto" w:fill="auto"/>
            <w:noWrap/>
            <w:vAlign w:val="center"/>
            <w:hideMark/>
          </w:tcPr>
          <w:p w14:paraId="74C41F6F" w14:textId="77777777" w:rsidR="008256C7" w:rsidRPr="00A339E0" w:rsidRDefault="008256C7" w:rsidP="008256C7">
            <w:pPr>
              <w:spacing w:after="0" w:line="240" w:lineRule="auto"/>
              <w:rPr>
                <w:rFonts w:asciiTheme="majorHAnsi" w:eastAsia="Times New Roman" w:hAnsiTheme="majorHAnsi" w:cstheme="majorHAnsi"/>
                <w:b/>
                <w:bCs/>
                <w:sz w:val="18"/>
                <w:szCs w:val="18"/>
                <w:lang w:eastAsia="es-CO"/>
              </w:rPr>
            </w:pPr>
            <w:r w:rsidRPr="00A339E0">
              <w:rPr>
                <w:rFonts w:asciiTheme="majorHAnsi" w:eastAsia="Times New Roman" w:hAnsiTheme="majorHAnsi" w:cstheme="majorHAnsi"/>
                <w:b/>
                <w:bCs/>
                <w:sz w:val="18"/>
                <w:szCs w:val="18"/>
                <w:lang w:eastAsia="es-CO"/>
              </w:rPr>
              <w:t> </w:t>
            </w:r>
          </w:p>
        </w:tc>
      </w:tr>
      <w:tr w:rsidR="008256C7" w:rsidRPr="0031240F" w14:paraId="7E7F0B43" w14:textId="77777777" w:rsidTr="00A339E0">
        <w:trPr>
          <w:trHeight w:val="1650"/>
        </w:trPr>
        <w:tc>
          <w:tcPr>
            <w:tcW w:w="180" w:type="pct"/>
            <w:tcBorders>
              <w:top w:val="nil"/>
              <w:left w:val="single" w:sz="4" w:space="0" w:color="auto"/>
              <w:bottom w:val="single" w:sz="4" w:space="0" w:color="auto"/>
              <w:right w:val="single" w:sz="4" w:space="0" w:color="auto"/>
            </w:tcBorders>
            <w:shd w:val="clear" w:color="4472C4" w:fill="FFFFFF"/>
            <w:vAlign w:val="center"/>
          </w:tcPr>
          <w:p w14:paraId="729157A7" w14:textId="170B3B5A"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t>8</w:t>
            </w:r>
          </w:p>
        </w:tc>
        <w:tc>
          <w:tcPr>
            <w:tcW w:w="1308" w:type="pct"/>
            <w:tcBorders>
              <w:top w:val="nil"/>
              <w:left w:val="nil"/>
              <w:bottom w:val="single" w:sz="4" w:space="0" w:color="auto"/>
              <w:right w:val="single" w:sz="4" w:space="0" w:color="auto"/>
            </w:tcBorders>
            <w:shd w:val="clear" w:color="4472C4" w:fill="FFFFFF"/>
            <w:vAlign w:val="center"/>
            <w:hideMark/>
          </w:tcPr>
          <w:p w14:paraId="4CDC949C" w14:textId="51317286"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Estructurar el Componente programático; definición de acciones estratégicas de cumplimiento del </w:t>
            </w:r>
            <w:r>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xml:space="preserve"> (PTEP) (Estrategia Institucional para la Lucha Contra la Corrupción.)</w:t>
            </w:r>
          </w:p>
        </w:tc>
        <w:tc>
          <w:tcPr>
            <w:tcW w:w="671" w:type="pct"/>
            <w:tcBorders>
              <w:top w:val="nil"/>
              <w:left w:val="nil"/>
              <w:bottom w:val="single" w:sz="4" w:space="0" w:color="auto"/>
              <w:right w:val="single" w:sz="4" w:space="0" w:color="auto"/>
            </w:tcBorders>
            <w:shd w:val="clear" w:color="4472C4" w:fill="FFFFFF"/>
            <w:vAlign w:val="center"/>
            <w:hideMark/>
          </w:tcPr>
          <w:p w14:paraId="453DF0B9"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Componente programático</w:t>
            </w:r>
          </w:p>
        </w:tc>
        <w:tc>
          <w:tcPr>
            <w:tcW w:w="672" w:type="pct"/>
            <w:tcBorders>
              <w:top w:val="nil"/>
              <w:left w:val="nil"/>
              <w:bottom w:val="single" w:sz="4" w:space="0" w:color="auto"/>
              <w:right w:val="single" w:sz="4" w:space="0" w:color="auto"/>
            </w:tcBorders>
            <w:shd w:val="clear" w:color="4472C4" w:fill="FFFFFF"/>
            <w:vAlign w:val="center"/>
            <w:hideMark/>
          </w:tcPr>
          <w:p w14:paraId="7448D10E"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2888FCD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3" w:type="pct"/>
            <w:tcBorders>
              <w:top w:val="nil"/>
              <w:left w:val="nil"/>
              <w:bottom w:val="single" w:sz="4" w:space="0" w:color="auto"/>
              <w:right w:val="single" w:sz="4" w:space="0" w:color="auto"/>
            </w:tcBorders>
            <w:shd w:val="clear" w:color="4472C4" w:fill="FFFFFF"/>
            <w:vAlign w:val="center"/>
            <w:hideMark/>
          </w:tcPr>
          <w:p w14:paraId="2A58E6ED"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2F9FE0A0"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4472C4" w:fill="FFFFFF"/>
            <w:vAlign w:val="center"/>
            <w:hideMark/>
          </w:tcPr>
          <w:p w14:paraId="23791B6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46" w:type="pct"/>
            <w:tcBorders>
              <w:top w:val="nil"/>
              <w:left w:val="nil"/>
              <w:bottom w:val="single" w:sz="4" w:space="0" w:color="auto"/>
              <w:right w:val="single" w:sz="4" w:space="0" w:color="auto"/>
            </w:tcBorders>
            <w:shd w:val="clear" w:color="4472C4" w:fill="AEAAAA"/>
            <w:vAlign w:val="center"/>
            <w:hideMark/>
          </w:tcPr>
          <w:p w14:paraId="781C86D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80" w:type="pct"/>
            <w:tcBorders>
              <w:top w:val="nil"/>
              <w:left w:val="nil"/>
              <w:bottom w:val="single" w:sz="4" w:space="0" w:color="auto"/>
              <w:right w:val="single" w:sz="4" w:space="0" w:color="auto"/>
            </w:tcBorders>
            <w:shd w:val="clear" w:color="4472C4" w:fill="AEAAAA"/>
            <w:vAlign w:val="center"/>
            <w:hideMark/>
          </w:tcPr>
          <w:p w14:paraId="796D08AB"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hideMark/>
          </w:tcPr>
          <w:p w14:paraId="66F274FD"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5A0AFB91" w14:textId="77777777" w:rsidTr="00A339E0">
        <w:trPr>
          <w:trHeight w:val="1260"/>
        </w:trPr>
        <w:tc>
          <w:tcPr>
            <w:tcW w:w="180" w:type="pct"/>
            <w:tcBorders>
              <w:top w:val="nil"/>
              <w:left w:val="single" w:sz="4" w:space="0" w:color="auto"/>
              <w:bottom w:val="single" w:sz="4" w:space="0" w:color="auto"/>
              <w:right w:val="single" w:sz="4" w:space="0" w:color="auto"/>
            </w:tcBorders>
            <w:shd w:val="clear" w:color="4472C4" w:fill="FFFFFF"/>
            <w:vAlign w:val="center"/>
          </w:tcPr>
          <w:p w14:paraId="6AE0051E" w14:textId="24F0B5E0"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t>9</w:t>
            </w:r>
          </w:p>
        </w:tc>
        <w:tc>
          <w:tcPr>
            <w:tcW w:w="1308" w:type="pct"/>
            <w:tcBorders>
              <w:top w:val="nil"/>
              <w:left w:val="nil"/>
              <w:bottom w:val="single" w:sz="4" w:space="0" w:color="auto"/>
              <w:right w:val="single" w:sz="4" w:space="0" w:color="auto"/>
            </w:tcBorders>
            <w:shd w:val="clear" w:color="4472C4" w:fill="FFFFFF"/>
            <w:vAlign w:val="center"/>
            <w:hideMark/>
          </w:tcPr>
          <w:p w14:paraId="2F3152CD"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Elaboración de componente de comunicaciones del programa de transparencia </w:t>
            </w:r>
          </w:p>
        </w:tc>
        <w:tc>
          <w:tcPr>
            <w:tcW w:w="671" w:type="pct"/>
            <w:tcBorders>
              <w:top w:val="nil"/>
              <w:left w:val="nil"/>
              <w:bottom w:val="single" w:sz="4" w:space="0" w:color="auto"/>
              <w:right w:val="single" w:sz="4" w:space="0" w:color="auto"/>
            </w:tcBorders>
            <w:shd w:val="clear" w:color="4472C4" w:fill="FFFFFF"/>
            <w:vAlign w:val="center"/>
            <w:hideMark/>
          </w:tcPr>
          <w:p w14:paraId="1242428A"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Elaboración de estrategia de socialización por redes sociales</w:t>
            </w:r>
          </w:p>
        </w:tc>
        <w:tc>
          <w:tcPr>
            <w:tcW w:w="672" w:type="pct"/>
            <w:tcBorders>
              <w:top w:val="nil"/>
              <w:left w:val="nil"/>
              <w:bottom w:val="single" w:sz="4" w:space="0" w:color="auto"/>
              <w:right w:val="single" w:sz="4" w:space="0" w:color="auto"/>
            </w:tcBorders>
            <w:shd w:val="clear" w:color="4472C4" w:fill="FFFFFF"/>
            <w:vAlign w:val="center"/>
            <w:hideMark/>
          </w:tcPr>
          <w:p w14:paraId="12FF673A"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6B27CD4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las Comunicaciones</w:t>
            </w:r>
          </w:p>
        </w:tc>
        <w:tc>
          <w:tcPr>
            <w:tcW w:w="233" w:type="pct"/>
            <w:tcBorders>
              <w:top w:val="nil"/>
              <w:left w:val="nil"/>
              <w:bottom w:val="single" w:sz="4" w:space="0" w:color="auto"/>
              <w:right w:val="single" w:sz="4" w:space="0" w:color="auto"/>
            </w:tcBorders>
            <w:shd w:val="clear" w:color="4472C4" w:fill="FFFFFF"/>
            <w:vAlign w:val="center"/>
            <w:hideMark/>
          </w:tcPr>
          <w:p w14:paraId="70FBC36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0584751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458C4354"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4472C4" w:fill="AEAAAA"/>
            <w:vAlign w:val="center"/>
            <w:hideMark/>
          </w:tcPr>
          <w:p w14:paraId="30FFB6C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80" w:type="pct"/>
            <w:tcBorders>
              <w:top w:val="nil"/>
              <w:left w:val="nil"/>
              <w:bottom w:val="single" w:sz="4" w:space="0" w:color="auto"/>
              <w:right w:val="single" w:sz="4" w:space="0" w:color="auto"/>
            </w:tcBorders>
            <w:shd w:val="clear" w:color="4472C4" w:fill="AEAAAA"/>
            <w:vAlign w:val="center"/>
            <w:hideMark/>
          </w:tcPr>
          <w:p w14:paraId="5D147C4F"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hideMark/>
          </w:tcPr>
          <w:p w14:paraId="75F1D87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7BC785C3" w14:textId="77777777" w:rsidTr="00A339E0">
        <w:trPr>
          <w:trHeight w:val="1575"/>
        </w:trPr>
        <w:tc>
          <w:tcPr>
            <w:tcW w:w="180" w:type="pct"/>
            <w:tcBorders>
              <w:top w:val="nil"/>
              <w:left w:val="single" w:sz="4" w:space="0" w:color="auto"/>
              <w:bottom w:val="single" w:sz="4" w:space="0" w:color="auto"/>
              <w:right w:val="single" w:sz="4" w:space="0" w:color="auto"/>
            </w:tcBorders>
            <w:shd w:val="clear" w:color="4472C4" w:fill="FFFFFF"/>
            <w:vAlign w:val="center"/>
          </w:tcPr>
          <w:p w14:paraId="7261C084" w14:textId="417E2579"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31240F">
              <w:rPr>
                <w:rFonts w:asciiTheme="majorHAnsi" w:eastAsia="Times New Roman" w:hAnsiTheme="majorHAnsi" w:cstheme="majorHAnsi"/>
                <w:b/>
                <w:bCs/>
                <w:sz w:val="18"/>
                <w:szCs w:val="18"/>
                <w:lang w:eastAsia="es-CO"/>
              </w:rPr>
              <w:t>10</w:t>
            </w:r>
          </w:p>
        </w:tc>
        <w:tc>
          <w:tcPr>
            <w:tcW w:w="1308" w:type="pct"/>
            <w:tcBorders>
              <w:top w:val="nil"/>
              <w:left w:val="nil"/>
              <w:bottom w:val="single" w:sz="4" w:space="0" w:color="auto"/>
              <w:right w:val="single" w:sz="4" w:space="0" w:color="auto"/>
            </w:tcBorders>
            <w:shd w:val="clear" w:color="4472C4" w:fill="FFFFFF"/>
            <w:vAlign w:val="center"/>
            <w:hideMark/>
          </w:tcPr>
          <w:p w14:paraId="2B2375CD" w14:textId="710357EB"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Socialización del </w:t>
            </w:r>
            <w:r>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xml:space="preserve"> 2025</w:t>
            </w:r>
          </w:p>
        </w:tc>
        <w:tc>
          <w:tcPr>
            <w:tcW w:w="671" w:type="pct"/>
            <w:tcBorders>
              <w:top w:val="nil"/>
              <w:left w:val="nil"/>
              <w:bottom w:val="single" w:sz="4" w:space="0" w:color="auto"/>
              <w:right w:val="single" w:sz="4" w:space="0" w:color="auto"/>
            </w:tcBorders>
            <w:shd w:val="clear" w:color="4472C4" w:fill="FFFFFF"/>
            <w:vAlign w:val="center"/>
            <w:hideMark/>
          </w:tcPr>
          <w:p w14:paraId="0A6AF80B" w14:textId="2850B906"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Socialización del </w:t>
            </w:r>
            <w:r>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xml:space="preserve"> 2025</w:t>
            </w:r>
          </w:p>
        </w:tc>
        <w:tc>
          <w:tcPr>
            <w:tcW w:w="672" w:type="pct"/>
            <w:tcBorders>
              <w:top w:val="nil"/>
              <w:left w:val="nil"/>
              <w:bottom w:val="single" w:sz="4" w:space="0" w:color="auto"/>
              <w:right w:val="single" w:sz="4" w:space="0" w:color="auto"/>
            </w:tcBorders>
            <w:shd w:val="clear" w:color="4472C4" w:fill="FFFFFF"/>
            <w:vAlign w:val="center"/>
            <w:hideMark/>
          </w:tcPr>
          <w:p w14:paraId="44BA64CF"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auto" w:fill="auto"/>
            <w:noWrap/>
            <w:vAlign w:val="center"/>
            <w:hideMark/>
          </w:tcPr>
          <w:p w14:paraId="3DBA367C"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3" w:type="pct"/>
            <w:tcBorders>
              <w:top w:val="nil"/>
              <w:left w:val="nil"/>
              <w:bottom w:val="single" w:sz="4" w:space="0" w:color="auto"/>
              <w:right w:val="single" w:sz="4" w:space="0" w:color="auto"/>
            </w:tcBorders>
            <w:shd w:val="clear" w:color="auto" w:fill="auto"/>
            <w:noWrap/>
            <w:vAlign w:val="center"/>
            <w:hideMark/>
          </w:tcPr>
          <w:p w14:paraId="2BC9125B"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hideMark/>
          </w:tcPr>
          <w:p w14:paraId="5BD208B2"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23A47420"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hideMark/>
          </w:tcPr>
          <w:p w14:paraId="7707B2D5"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auto" w:fill="auto"/>
            <w:noWrap/>
            <w:vAlign w:val="center"/>
            <w:hideMark/>
          </w:tcPr>
          <w:p w14:paraId="7D6492F5"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2" w:type="pct"/>
            <w:tcBorders>
              <w:top w:val="nil"/>
              <w:left w:val="nil"/>
              <w:bottom w:val="single" w:sz="4" w:space="0" w:color="auto"/>
              <w:right w:val="single" w:sz="4" w:space="0" w:color="auto"/>
            </w:tcBorders>
            <w:shd w:val="clear" w:color="4472C4" w:fill="AEAAAA"/>
            <w:vAlign w:val="center"/>
            <w:hideMark/>
          </w:tcPr>
          <w:p w14:paraId="1666AB5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57328A47" w14:textId="77777777" w:rsidTr="00A339E0">
        <w:trPr>
          <w:trHeight w:val="945"/>
        </w:trPr>
        <w:tc>
          <w:tcPr>
            <w:tcW w:w="180" w:type="pct"/>
            <w:tcBorders>
              <w:top w:val="nil"/>
              <w:left w:val="single" w:sz="4" w:space="0" w:color="auto"/>
              <w:bottom w:val="single" w:sz="4" w:space="0" w:color="auto"/>
              <w:right w:val="single" w:sz="4" w:space="0" w:color="auto"/>
            </w:tcBorders>
            <w:shd w:val="clear" w:color="4472C4" w:fill="FFFFFF"/>
            <w:vAlign w:val="center"/>
          </w:tcPr>
          <w:p w14:paraId="30637849" w14:textId="1F70574B"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1</w:t>
            </w:r>
            <w:r w:rsidRPr="0031240F">
              <w:rPr>
                <w:rFonts w:asciiTheme="majorHAnsi" w:eastAsia="Times New Roman" w:hAnsiTheme="majorHAnsi" w:cstheme="majorHAnsi"/>
                <w:b/>
                <w:bCs/>
                <w:sz w:val="18"/>
                <w:szCs w:val="18"/>
                <w:lang w:eastAsia="es-CO"/>
              </w:rPr>
              <w:t>1</w:t>
            </w:r>
          </w:p>
        </w:tc>
        <w:tc>
          <w:tcPr>
            <w:tcW w:w="1308" w:type="pct"/>
            <w:tcBorders>
              <w:top w:val="nil"/>
              <w:left w:val="nil"/>
              <w:bottom w:val="single" w:sz="4" w:space="0" w:color="auto"/>
              <w:right w:val="single" w:sz="4" w:space="0" w:color="auto"/>
            </w:tcBorders>
            <w:shd w:val="clear" w:color="4472C4" w:fill="FFFFFF"/>
            <w:vAlign w:val="center"/>
            <w:hideMark/>
          </w:tcPr>
          <w:p w14:paraId="730A5877" w14:textId="6B682CAC"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Actualización de la documentación del SIG con relacionada con el nuevo </w:t>
            </w:r>
            <w:r>
              <w:rPr>
                <w:rFonts w:asciiTheme="majorHAnsi" w:eastAsia="Times New Roman" w:hAnsiTheme="majorHAnsi" w:cstheme="majorHAnsi"/>
                <w:b/>
                <w:bCs/>
                <w:sz w:val="18"/>
                <w:szCs w:val="18"/>
                <w:lang w:eastAsia="es-CO"/>
              </w:rPr>
              <w:t>Programa de Transparencia y Ética Pública</w:t>
            </w:r>
            <w:r w:rsidRPr="008B4A14">
              <w:rPr>
                <w:rFonts w:asciiTheme="majorHAnsi" w:eastAsia="Times New Roman" w:hAnsiTheme="majorHAnsi" w:cstheme="majorHAnsi"/>
                <w:b/>
                <w:bCs/>
                <w:sz w:val="18"/>
                <w:szCs w:val="18"/>
                <w:lang w:eastAsia="es-CO"/>
              </w:rPr>
              <w:t xml:space="preserve"> Publica</w:t>
            </w:r>
          </w:p>
        </w:tc>
        <w:tc>
          <w:tcPr>
            <w:tcW w:w="671" w:type="pct"/>
            <w:tcBorders>
              <w:top w:val="nil"/>
              <w:left w:val="nil"/>
              <w:bottom w:val="single" w:sz="4" w:space="0" w:color="auto"/>
              <w:right w:val="single" w:sz="4" w:space="0" w:color="auto"/>
            </w:tcBorders>
            <w:shd w:val="clear" w:color="4472C4" w:fill="FFFFFF"/>
            <w:vAlign w:val="center"/>
            <w:hideMark/>
          </w:tcPr>
          <w:p w14:paraId="6EF0C62A"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Documentación del SIG actualizada</w:t>
            </w:r>
          </w:p>
        </w:tc>
        <w:tc>
          <w:tcPr>
            <w:tcW w:w="672" w:type="pct"/>
            <w:tcBorders>
              <w:top w:val="nil"/>
              <w:left w:val="nil"/>
              <w:bottom w:val="single" w:sz="4" w:space="0" w:color="auto"/>
              <w:right w:val="single" w:sz="4" w:space="0" w:color="auto"/>
            </w:tcBorders>
            <w:shd w:val="clear" w:color="4472C4" w:fill="FFFFFF"/>
            <w:vAlign w:val="center"/>
            <w:hideMark/>
          </w:tcPr>
          <w:p w14:paraId="25EF19B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60B96C72"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3" w:type="pct"/>
            <w:tcBorders>
              <w:top w:val="nil"/>
              <w:left w:val="nil"/>
              <w:bottom w:val="single" w:sz="4" w:space="0" w:color="auto"/>
              <w:right w:val="single" w:sz="4" w:space="0" w:color="auto"/>
            </w:tcBorders>
            <w:shd w:val="clear" w:color="4472C4" w:fill="FFFFFF"/>
            <w:vAlign w:val="center"/>
            <w:hideMark/>
          </w:tcPr>
          <w:p w14:paraId="448246C0"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54E11ED2"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4472C4" w:fill="FFFFFF"/>
            <w:vAlign w:val="center"/>
            <w:hideMark/>
          </w:tcPr>
          <w:p w14:paraId="5B684DC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46" w:type="pct"/>
            <w:tcBorders>
              <w:top w:val="nil"/>
              <w:left w:val="nil"/>
              <w:bottom w:val="single" w:sz="4" w:space="0" w:color="auto"/>
              <w:right w:val="single" w:sz="4" w:space="0" w:color="auto"/>
            </w:tcBorders>
            <w:shd w:val="clear" w:color="4472C4" w:fill="AEAAAA"/>
            <w:vAlign w:val="center"/>
            <w:hideMark/>
          </w:tcPr>
          <w:p w14:paraId="4B7CD64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80" w:type="pct"/>
            <w:tcBorders>
              <w:top w:val="nil"/>
              <w:left w:val="nil"/>
              <w:bottom w:val="single" w:sz="4" w:space="0" w:color="auto"/>
              <w:right w:val="single" w:sz="4" w:space="0" w:color="auto"/>
            </w:tcBorders>
            <w:shd w:val="clear" w:color="4472C4" w:fill="AEAAAA"/>
            <w:vAlign w:val="center"/>
            <w:hideMark/>
          </w:tcPr>
          <w:p w14:paraId="0F358630"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FFFFFF"/>
            <w:vAlign w:val="center"/>
            <w:hideMark/>
          </w:tcPr>
          <w:p w14:paraId="1369A6D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r>
      <w:tr w:rsidR="008256C7" w:rsidRPr="0031240F" w14:paraId="55094A99" w14:textId="77777777" w:rsidTr="00A339E0">
        <w:trPr>
          <w:trHeight w:val="3150"/>
        </w:trPr>
        <w:tc>
          <w:tcPr>
            <w:tcW w:w="180" w:type="pct"/>
            <w:tcBorders>
              <w:top w:val="nil"/>
              <w:left w:val="single" w:sz="4" w:space="0" w:color="auto"/>
              <w:bottom w:val="single" w:sz="4" w:space="0" w:color="auto"/>
              <w:right w:val="single" w:sz="4" w:space="0" w:color="auto"/>
            </w:tcBorders>
            <w:shd w:val="clear" w:color="4472C4" w:fill="FFFFFF"/>
            <w:vAlign w:val="center"/>
          </w:tcPr>
          <w:p w14:paraId="48EFAF84" w14:textId="33D1A4E6"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1</w:t>
            </w:r>
            <w:r w:rsidRPr="0031240F">
              <w:rPr>
                <w:rFonts w:asciiTheme="majorHAnsi" w:eastAsia="Times New Roman" w:hAnsiTheme="majorHAnsi" w:cstheme="majorHAnsi"/>
                <w:b/>
                <w:bCs/>
                <w:sz w:val="18"/>
                <w:szCs w:val="18"/>
                <w:lang w:eastAsia="es-CO"/>
              </w:rPr>
              <w:t>2</w:t>
            </w:r>
          </w:p>
        </w:tc>
        <w:tc>
          <w:tcPr>
            <w:tcW w:w="1308" w:type="pct"/>
            <w:tcBorders>
              <w:top w:val="nil"/>
              <w:left w:val="nil"/>
              <w:bottom w:val="single" w:sz="4" w:space="0" w:color="auto"/>
              <w:right w:val="single" w:sz="4" w:space="0" w:color="auto"/>
            </w:tcBorders>
            <w:shd w:val="clear" w:color="4472C4" w:fill="FFFFFF"/>
            <w:vAlign w:val="center"/>
            <w:hideMark/>
          </w:tcPr>
          <w:p w14:paraId="2E2D401C" w14:textId="19B607EB"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Adecuar los lineamientos y parámetros que establezca la </w:t>
            </w:r>
            <w:r w:rsidRPr="0031240F">
              <w:rPr>
                <w:rFonts w:asciiTheme="majorHAnsi" w:eastAsia="Times New Roman" w:hAnsiTheme="majorHAnsi" w:cstheme="majorHAnsi"/>
                <w:b/>
                <w:bCs/>
                <w:sz w:val="18"/>
                <w:szCs w:val="18"/>
                <w:lang w:eastAsia="es-CO"/>
              </w:rPr>
              <w:t>secretaria</w:t>
            </w:r>
            <w:r w:rsidRPr="008B4A14">
              <w:rPr>
                <w:rFonts w:asciiTheme="majorHAnsi" w:eastAsia="Times New Roman" w:hAnsiTheme="majorHAnsi" w:cstheme="majorHAnsi"/>
                <w:b/>
                <w:bCs/>
                <w:sz w:val="18"/>
                <w:szCs w:val="18"/>
                <w:lang w:eastAsia="es-CO"/>
              </w:rPr>
              <w:t xml:space="preserve"> de</w:t>
            </w:r>
            <w:r w:rsidRPr="0031240F">
              <w:rPr>
                <w:rFonts w:asciiTheme="majorHAnsi" w:eastAsia="Times New Roman" w:hAnsiTheme="majorHAnsi" w:cstheme="majorHAnsi"/>
                <w:b/>
                <w:bCs/>
                <w:sz w:val="18"/>
                <w:szCs w:val="18"/>
                <w:lang w:eastAsia="es-CO"/>
              </w:rPr>
              <w:t xml:space="preserve"> </w:t>
            </w:r>
            <w:r w:rsidRPr="008B4A14">
              <w:rPr>
                <w:rFonts w:asciiTheme="majorHAnsi" w:eastAsia="Times New Roman" w:hAnsiTheme="majorHAnsi" w:cstheme="majorHAnsi"/>
                <w:b/>
                <w:bCs/>
                <w:sz w:val="18"/>
                <w:szCs w:val="18"/>
                <w:lang w:eastAsia="es-CO"/>
              </w:rPr>
              <w:t>Transparencia de Presidencia con la política de administración de riesgos del municipio.</w:t>
            </w:r>
          </w:p>
        </w:tc>
        <w:tc>
          <w:tcPr>
            <w:tcW w:w="671" w:type="pct"/>
            <w:tcBorders>
              <w:top w:val="nil"/>
              <w:left w:val="nil"/>
              <w:bottom w:val="single" w:sz="4" w:space="0" w:color="auto"/>
              <w:right w:val="single" w:sz="4" w:space="0" w:color="auto"/>
            </w:tcBorders>
            <w:shd w:val="clear" w:color="4472C4" w:fill="FFFFFF"/>
            <w:vAlign w:val="center"/>
            <w:hideMark/>
          </w:tcPr>
          <w:p w14:paraId="19012DE4" w14:textId="2FB95449"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elaboración y adaptación de lineamientos </w:t>
            </w:r>
            <w:r w:rsidRPr="0031240F">
              <w:rPr>
                <w:rFonts w:asciiTheme="majorHAnsi" w:eastAsia="Times New Roman" w:hAnsiTheme="majorHAnsi" w:cstheme="majorHAnsi"/>
                <w:b/>
                <w:bCs/>
                <w:sz w:val="18"/>
                <w:szCs w:val="18"/>
                <w:lang w:eastAsia="es-CO"/>
              </w:rPr>
              <w:t>(actualización</w:t>
            </w:r>
            <w:r w:rsidRPr="008B4A14">
              <w:rPr>
                <w:rFonts w:asciiTheme="majorHAnsi" w:eastAsia="Times New Roman" w:hAnsiTheme="majorHAnsi" w:cstheme="majorHAnsi"/>
                <w:b/>
                <w:bCs/>
                <w:sz w:val="18"/>
                <w:szCs w:val="18"/>
                <w:lang w:eastAsia="es-CO"/>
              </w:rPr>
              <w:t xml:space="preserve"> de componentes de gestión del riesgo, actualización y elaboración de componentes SARLAFT)</w:t>
            </w:r>
          </w:p>
        </w:tc>
        <w:tc>
          <w:tcPr>
            <w:tcW w:w="672" w:type="pct"/>
            <w:tcBorders>
              <w:top w:val="nil"/>
              <w:left w:val="nil"/>
              <w:bottom w:val="single" w:sz="4" w:space="0" w:color="auto"/>
              <w:right w:val="single" w:sz="4" w:space="0" w:color="auto"/>
            </w:tcBorders>
            <w:shd w:val="clear" w:color="4472C4" w:fill="FFFFFF"/>
            <w:vAlign w:val="center"/>
            <w:hideMark/>
          </w:tcPr>
          <w:p w14:paraId="5D4A54C0"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07A22A30"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4472C4" w:fill="FFFFFF"/>
            <w:vAlign w:val="center"/>
            <w:hideMark/>
          </w:tcPr>
          <w:p w14:paraId="73391E25"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30" w:type="pct"/>
            <w:tcBorders>
              <w:top w:val="nil"/>
              <w:left w:val="nil"/>
              <w:bottom w:val="single" w:sz="4" w:space="0" w:color="auto"/>
              <w:right w:val="single" w:sz="4" w:space="0" w:color="auto"/>
            </w:tcBorders>
            <w:shd w:val="clear" w:color="4472C4" w:fill="FFFFFF"/>
            <w:vAlign w:val="center"/>
            <w:hideMark/>
          </w:tcPr>
          <w:p w14:paraId="71465FCF"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78" w:type="pct"/>
            <w:tcBorders>
              <w:top w:val="nil"/>
              <w:left w:val="nil"/>
              <w:bottom w:val="single" w:sz="4" w:space="0" w:color="auto"/>
              <w:right w:val="single" w:sz="4" w:space="0" w:color="auto"/>
            </w:tcBorders>
            <w:shd w:val="clear" w:color="4472C4" w:fill="FFFFFF"/>
            <w:vAlign w:val="center"/>
            <w:hideMark/>
          </w:tcPr>
          <w:p w14:paraId="33D6777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46" w:type="pct"/>
            <w:tcBorders>
              <w:top w:val="nil"/>
              <w:left w:val="nil"/>
              <w:bottom w:val="single" w:sz="4" w:space="0" w:color="auto"/>
              <w:right w:val="single" w:sz="4" w:space="0" w:color="auto"/>
            </w:tcBorders>
            <w:shd w:val="clear" w:color="4472C4" w:fill="FFFFFF"/>
            <w:vAlign w:val="center"/>
            <w:hideMark/>
          </w:tcPr>
          <w:p w14:paraId="45B2066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w:t>
            </w:r>
          </w:p>
        </w:tc>
        <w:tc>
          <w:tcPr>
            <w:tcW w:w="280" w:type="pct"/>
            <w:tcBorders>
              <w:top w:val="nil"/>
              <w:left w:val="nil"/>
              <w:bottom w:val="single" w:sz="4" w:space="0" w:color="auto"/>
              <w:right w:val="single" w:sz="4" w:space="0" w:color="auto"/>
            </w:tcBorders>
            <w:shd w:val="clear" w:color="4472C4" w:fill="AEAAAA"/>
            <w:vAlign w:val="center"/>
            <w:hideMark/>
          </w:tcPr>
          <w:p w14:paraId="59AC1553"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hideMark/>
          </w:tcPr>
          <w:p w14:paraId="39BAF9AE"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7095472C" w14:textId="77777777" w:rsidTr="00A339E0">
        <w:trPr>
          <w:trHeight w:val="1690"/>
        </w:trPr>
        <w:tc>
          <w:tcPr>
            <w:tcW w:w="180" w:type="pct"/>
            <w:tcBorders>
              <w:top w:val="nil"/>
              <w:left w:val="single" w:sz="4" w:space="0" w:color="auto"/>
              <w:bottom w:val="single" w:sz="4" w:space="0" w:color="auto"/>
              <w:right w:val="single" w:sz="4" w:space="0" w:color="auto"/>
            </w:tcBorders>
            <w:shd w:val="clear" w:color="4472C4" w:fill="FFFFFF"/>
            <w:vAlign w:val="center"/>
          </w:tcPr>
          <w:p w14:paraId="607FA6DF" w14:textId="0CAFDE6E"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lastRenderedPageBreak/>
              <w:t>1</w:t>
            </w:r>
            <w:r w:rsidRPr="0031240F">
              <w:rPr>
                <w:rFonts w:asciiTheme="majorHAnsi" w:eastAsia="Times New Roman" w:hAnsiTheme="majorHAnsi" w:cstheme="majorHAnsi"/>
                <w:b/>
                <w:bCs/>
                <w:sz w:val="18"/>
                <w:szCs w:val="18"/>
                <w:lang w:eastAsia="es-CO"/>
              </w:rPr>
              <w:t>3</w:t>
            </w:r>
          </w:p>
        </w:tc>
        <w:tc>
          <w:tcPr>
            <w:tcW w:w="1308" w:type="pct"/>
            <w:tcBorders>
              <w:top w:val="nil"/>
              <w:left w:val="nil"/>
              <w:bottom w:val="single" w:sz="4" w:space="0" w:color="auto"/>
              <w:right w:val="single" w:sz="4" w:space="0" w:color="auto"/>
            </w:tcBorders>
            <w:shd w:val="clear" w:color="4472C4" w:fill="FFFFFF"/>
            <w:vAlign w:val="center"/>
            <w:hideMark/>
          </w:tcPr>
          <w:p w14:paraId="1C31AA4E"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Actualizar la Política de Administración de Riesgos </w:t>
            </w:r>
          </w:p>
        </w:tc>
        <w:tc>
          <w:tcPr>
            <w:tcW w:w="671" w:type="pct"/>
            <w:tcBorders>
              <w:top w:val="nil"/>
              <w:left w:val="nil"/>
              <w:bottom w:val="single" w:sz="4" w:space="0" w:color="auto"/>
              <w:right w:val="single" w:sz="4" w:space="0" w:color="auto"/>
            </w:tcBorders>
            <w:shd w:val="clear" w:color="4472C4" w:fill="FFFFFF"/>
            <w:vAlign w:val="center"/>
            <w:hideMark/>
          </w:tcPr>
          <w:p w14:paraId="385F3E64"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Política de Administración de Riesgos</w:t>
            </w:r>
            <w:r w:rsidRPr="008B4A14">
              <w:rPr>
                <w:rFonts w:asciiTheme="majorHAnsi" w:eastAsia="Times New Roman" w:hAnsiTheme="majorHAnsi" w:cstheme="majorHAnsi"/>
                <w:b/>
                <w:bCs/>
                <w:sz w:val="18"/>
                <w:szCs w:val="18"/>
                <w:lang w:eastAsia="es-CO"/>
              </w:rPr>
              <w:br/>
              <w:t>actualización y elaboración de componentes SARLAFT</w:t>
            </w:r>
          </w:p>
        </w:tc>
        <w:tc>
          <w:tcPr>
            <w:tcW w:w="672" w:type="pct"/>
            <w:tcBorders>
              <w:top w:val="nil"/>
              <w:left w:val="nil"/>
              <w:bottom w:val="single" w:sz="4" w:space="0" w:color="auto"/>
              <w:right w:val="single" w:sz="4" w:space="0" w:color="auto"/>
            </w:tcBorders>
            <w:shd w:val="clear" w:color="4472C4" w:fill="FFFFFF"/>
            <w:vAlign w:val="center"/>
            <w:hideMark/>
          </w:tcPr>
          <w:p w14:paraId="38E943D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670" w:type="pct"/>
            <w:tcBorders>
              <w:top w:val="nil"/>
              <w:left w:val="nil"/>
              <w:bottom w:val="single" w:sz="4" w:space="0" w:color="auto"/>
              <w:right w:val="single" w:sz="4" w:space="0" w:color="auto"/>
            </w:tcBorders>
            <w:shd w:val="clear" w:color="4472C4" w:fill="FFFFFF"/>
            <w:vAlign w:val="center"/>
            <w:hideMark/>
          </w:tcPr>
          <w:p w14:paraId="67DB7952"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233" w:type="pct"/>
            <w:tcBorders>
              <w:top w:val="nil"/>
              <w:left w:val="nil"/>
              <w:bottom w:val="single" w:sz="4" w:space="0" w:color="auto"/>
              <w:right w:val="single" w:sz="4" w:space="0" w:color="auto"/>
            </w:tcBorders>
            <w:shd w:val="clear" w:color="auto" w:fill="auto"/>
            <w:noWrap/>
            <w:vAlign w:val="center"/>
            <w:hideMark/>
          </w:tcPr>
          <w:p w14:paraId="69CA3B2B"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hideMark/>
          </w:tcPr>
          <w:p w14:paraId="0E4CCE8B"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339C6FE1"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hideMark/>
          </w:tcPr>
          <w:p w14:paraId="137CEC39"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auto" w:fill="auto"/>
            <w:noWrap/>
            <w:vAlign w:val="center"/>
            <w:hideMark/>
          </w:tcPr>
          <w:p w14:paraId="3A7F063F"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2" w:type="pct"/>
            <w:tcBorders>
              <w:top w:val="nil"/>
              <w:left w:val="nil"/>
              <w:bottom w:val="single" w:sz="4" w:space="0" w:color="auto"/>
              <w:right w:val="single" w:sz="4" w:space="0" w:color="auto"/>
            </w:tcBorders>
            <w:shd w:val="clear" w:color="4472C4" w:fill="AEAAAA"/>
            <w:vAlign w:val="center"/>
            <w:hideMark/>
          </w:tcPr>
          <w:p w14:paraId="361F79ED"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27CBC5A3" w14:textId="77777777" w:rsidTr="00A339E0">
        <w:trPr>
          <w:trHeight w:val="1335"/>
        </w:trPr>
        <w:tc>
          <w:tcPr>
            <w:tcW w:w="180" w:type="pct"/>
            <w:tcBorders>
              <w:top w:val="nil"/>
              <w:left w:val="single" w:sz="4" w:space="0" w:color="auto"/>
              <w:bottom w:val="single" w:sz="4" w:space="0" w:color="auto"/>
              <w:right w:val="single" w:sz="4" w:space="0" w:color="auto"/>
            </w:tcBorders>
            <w:shd w:val="clear" w:color="4472C4" w:fill="FFFFFF"/>
            <w:vAlign w:val="center"/>
          </w:tcPr>
          <w:p w14:paraId="29D8472A" w14:textId="51F4D164"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1</w:t>
            </w:r>
            <w:r w:rsidRPr="0031240F">
              <w:rPr>
                <w:rFonts w:asciiTheme="majorHAnsi" w:eastAsia="Times New Roman" w:hAnsiTheme="majorHAnsi" w:cstheme="majorHAnsi"/>
                <w:b/>
                <w:bCs/>
                <w:sz w:val="18"/>
                <w:szCs w:val="18"/>
                <w:lang w:eastAsia="es-CO"/>
              </w:rPr>
              <w:t>4</w:t>
            </w:r>
          </w:p>
        </w:tc>
        <w:tc>
          <w:tcPr>
            <w:tcW w:w="1308" w:type="pct"/>
            <w:tcBorders>
              <w:top w:val="nil"/>
              <w:left w:val="nil"/>
              <w:bottom w:val="single" w:sz="4" w:space="0" w:color="auto"/>
              <w:right w:val="single" w:sz="4" w:space="0" w:color="auto"/>
            </w:tcBorders>
            <w:shd w:val="clear" w:color="4472C4" w:fill="FFFFFF"/>
            <w:vAlign w:val="center"/>
            <w:hideMark/>
          </w:tcPr>
          <w:p w14:paraId="692EEA8D"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Actualización del Formato de Matriz de Riesgos de Corrupción de acuerdo con la nueva política de Riesgos de Corrupción (FO-DE-16 Matriz de Riesgos Corrupción) y el componente SARLAFT</w:t>
            </w:r>
          </w:p>
        </w:tc>
        <w:tc>
          <w:tcPr>
            <w:tcW w:w="671" w:type="pct"/>
            <w:tcBorders>
              <w:top w:val="nil"/>
              <w:left w:val="nil"/>
              <w:bottom w:val="single" w:sz="4" w:space="0" w:color="auto"/>
              <w:right w:val="single" w:sz="4" w:space="0" w:color="auto"/>
            </w:tcBorders>
            <w:shd w:val="clear" w:color="4472C4" w:fill="FFFFFF"/>
            <w:vAlign w:val="center"/>
            <w:hideMark/>
          </w:tcPr>
          <w:p w14:paraId="47E90A53"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FO-DE-16 Matriz de Riesgos Corrupción actualizado </w:t>
            </w:r>
          </w:p>
        </w:tc>
        <w:tc>
          <w:tcPr>
            <w:tcW w:w="672" w:type="pct"/>
            <w:tcBorders>
              <w:top w:val="nil"/>
              <w:left w:val="nil"/>
              <w:bottom w:val="single" w:sz="4" w:space="0" w:color="auto"/>
              <w:right w:val="single" w:sz="4" w:space="0" w:color="auto"/>
            </w:tcBorders>
            <w:shd w:val="clear" w:color="4472C4" w:fill="FFFFFF"/>
            <w:vAlign w:val="center"/>
            <w:hideMark/>
          </w:tcPr>
          <w:p w14:paraId="523DE998"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2C374516"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auto" w:fill="auto"/>
            <w:noWrap/>
            <w:vAlign w:val="center"/>
            <w:hideMark/>
          </w:tcPr>
          <w:p w14:paraId="5F6220CD"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hideMark/>
          </w:tcPr>
          <w:p w14:paraId="52914112"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297A3F42"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hideMark/>
          </w:tcPr>
          <w:p w14:paraId="51D99A25"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4472C4" w:fill="AEAAAA"/>
            <w:vAlign w:val="center"/>
            <w:hideMark/>
          </w:tcPr>
          <w:p w14:paraId="23FB6F1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hideMark/>
          </w:tcPr>
          <w:p w14:paraId="7FE24DB3"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2CC7BD69" w14:textId="77777777" w:rsidTr="00A339E0">
        <w:trPr>
          <w:trHeight w:val="1126"/>
        </w:trPr>
        <w:tc>
          <w:tcPr>
            <w:tcW w:w="180" w:type="pct"/>
            <w:tcBorders>
              <w:top w:val="nil"/>
              <w:left w:val="single" w:sz="4" w:space="0" w:color="auto"/>
              <w:bottom w:val="single" w:sz="4" w:space="0" w:color="auto"/>
              <w:right w:val="single" w:sz="4" w:space="0" w:color="auto"/>
            </w:tcBorders>
            <w:shd w:val="clear" w:color="4472C4" w:fill="FFFFFF"/>
            <w:vAlign w:val="center"/>
          </w:tcPr>
          <w:p w14:paraId="4F69D08F" w14:textId="3811C258"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1</w:t>
            </w:r>
            <w:r w:rsidRPr="0031240F">
              <w:rPr>
                <w:rFonts w:asciiTheme="majorHAnsi" w:eastAsia="Times New Roman" w:hAnsiTheme="majorHAnsi" w:cstheme="majorHAnsi"/>
                <w:b/>
                <w:bCs/>
                <w:sz w:val="18"/>
                <w:szCs w:val="18"/>
                <w:lang w:eastAsia="es-CO"/>
              </w:rPr>
              <w:t>5</w:t>
            </w:r>
          </w:p>
        </w:tc>
        <w:tc>
          <w:tcPr>
            <w:tcW w:w="1308" w:type="pct"/>
            <w:tcBorders>
              <w:top w:val="nil"/>
              <w:left w:val="nil"/>
              <w:bottom w:val="single" w:sz="4" w:space="0" w:color="auto"/>
              <w:right w:val="single" w:sz="4" w:space="0" w:color="auto"/>
            </w:tcBorders>
            <w:shd w:val="clear" w:color="4472C4" w:fill="FFFFFF"/>
            <w:vAlign w:val="center"/>
            <w:hideMark/>
          </w:tcPr>
          <w:p w14:paraId="2972EFB1"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Capacitar a los Líder MIPG en la gestión de los riesgos de corrupción y el componente SARLAFT</w:t>
            </w:r>
          </w:p>
        </w:tc>
        <w:tc>
          <w:tcPr>
            <w:tcW w:w="671" w:type="pct"/>
            <w:tcBorders>
              <w:top w:val="nil"/>
              <w:left w:val="nil"/>
              <w:bottom w:val="single" w:sz="4" w:space="0" w:color="auto"/>
              <w:right w:val="single" w:sz="4" w:space="0" w:color="auto"/>
            </w:tcBorders>
            <w:shd w:val="clear" w:color="4472C4" w:fill="FFFFFF"/>
            <w:vAlign w:val="center"/>
            <w:hideMark/>
          </w:tcPr>
          <w:p w14:paraId="396228CD" w14:textId="217D9401"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 xml:space="preserve">Capacitación a </w:t>
            </w:r>
            <w:r w:rsidRPr="0031240F">
              <w:rPr>
                <w:rFonts w:asciiTheme="majorHAnsi" w:eastAsia="Times New Roman" w:hAnsiTheme="majorHAnsi" w:cstheme="majorHAnsi"/>
                <w:b/>
                <w:bCs/>
                <w:sz w:val="18"/>
                <w:szCs w:val="18"/>
                <w:lang w:eastAsia="es-CO"/>
              </w:rPr>
              <w:t>lideres MIPG</w:t>
            </w:r>
          </w:p>
        </w:tc>
        <w:tc>
          <w:tcPr>
            <w:tcW w:w="672" w:type="pct"/>
            <w:tcBorders>
              <w:top w:val="nil"/>
              <w:left w:val="nil"/>
              <w:bottom w:val="single" w:sz="4" w:space="0" w:color="auto"/>
              <w:right w:val="single" w:sz="4" w:space="0" w:color="auto"/>
            </w:tcBorders>
            <w:shd w:val="clear" w:color="4472C4" w:fill="FFFFFF"/>
            <w:vAlign w:val="center"/>
            <w:hideMark/>
          </w:tcPr>
          <w:p w14:paraId="05C40F9A"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670" w:type="pct"/>
            <w:tcBorders>
              <w:top w:val="nil"/>
              <w:left w:val="nil"/>
              <w:bottom w:val="single" w:sz="4" w:space="0" w:color="auto"/>
              <w:right w:val="single" w:sz="4" w:space="0" w:color="auto"/>
            </w:tcBorders>
            <w:shd w:val="clear" w:color="4472C4" w:fill="FFFFFF"/>
            <w:vAlign w:val="center"/>
            <w:hideMark/>
          </w:tcPr>
          <w:p w14:paraId="4D97333A"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233" w:type="pct"/>
            <w:tcBorders>
              <w:top w:val="nil"/>
              <w:left w:val="nil"/>
              <w:bottom w:val="single" w:sz="4" w:space="0" w:color="auto"/>
              <w:right w:val="single" w:sz="4" w:space="0" w:color="auto"/>
            </w:tcBorders>
            <w:shd w:val="clear" w:color="auto" w:fill="auto"/>
            <w:noWrap/>
            <w:vAlign w:val="center"/>
            <w:hideMark/>
          </w:tcPr>
          <w:p w14:paraId="3C951F52"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hideMark/>
          </w:tcPr>
          <w:p w14:paraId="3FDF722B"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7A2BAC3E"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hideMark/>
          </w:tcPr>
          <w:p w14:paraId="787BB171"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4472C4" w:fill="AEAAAA"/>
            <w:vAlign w:val="center"/>
            <w:hideMark/>
          </w:tcPr>
          <w:p w14:paraId="3C53440C"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hideMark/>
          </w:tcPr>
          <w:p w14:paraId="61664DE9"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8256C7" w:rsidRPr="0031240F" w14:paraId="636541FB" w14:textId="77777777" w:rsidTr="00A339E0">
        <w:trPr>
          <w:trHeight w:val="975"/>
        </w:trPr>
        <w:tc>
          <w:tcPr>
            <w:tcW w:w="180" w:type="pct"/>
            <w:tcBorders>
              <w:top w:val="nil"/>
              <w:left w:val="single" w:sz="4" w:space="0" w:color="auto"/>
              <w:bottom w:val="single" w:sz="4" w:space="0" w:color="auto"/>
              <w:right w:val="single" w:sz="4" w:space="0" w:color="auto"/>
            </w:tcBorders>
            <w:shd w:val="clear" w:color="4472C4" w:fill="FFFFFF"/>
            <w:vAlign w:val="center"/>
          </w:tcPr>
          <w:p w14:paraId="05BA2FDA" w14:textId="1C597BB8"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1</w:t>
            </w:r>
            <w:r w:rsidRPr="0031240F">
              <w:rPr>
                <w:rFonts w:asciiTheme="majorHAnsi" w:eastAsia="Times New Roman" w:hAnsiTheme="majorHAnsi" w:cstheme="majorHAnsi"/>
                <w:b/>
                <w:bCs/>
                <w:sz w:val="18"/>
                <w:szCs w:val="18"/>
                <w:lang w:eastAsia="es-CO"/>
              </w:rPr>
              <w:t>6</w:t>
            </w:r>
          </w:p>
        </w:tc>
        <w:tc>
          <w:tcPr>
            <w:tcW w:w="1308" w:type="pct"/>
            <w:tcBorders>
              <w:top w:val="nil"/>
              <w:left w:val="nil"/>
              <w:bottom w:val="single" w:sz="4" w:space="0" w:color="auto"/>
              <w:right w:val="single" w:sz="4" w:space="0" w:color="auto"/>
            </w:tcBorders>
            <w:shd w:val="clear" w:color="4472C4" w:fill="FFFFFF"/>
            <w:vAlign w:val="center"/>
            <w:hideMark/>
          </w:tcPr>
          <w:p w14:paraId="52CA7557" w14:textId="77777777"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Análisis de canales de atención del municipio y la definición de estrategias para el fortalecimiento de los mismo.</w:t>
            </w:r>
          </w:p>
        </w:tc>
        <w:tc>
          <w:tcPr>
            <w:tcW w:w="671" w:type="pct"/>
            <w:tcBorders>
              <w:top w:val="nil"/>
              <w:left w:val="nil"/>
              <w:bottom w:val="single" w:sz="4" w:space="0" w:color="auto"/>
              <w:right w:val="single" w:sz="4" w:space="0" w:color="auto"/>
            </w:tcBorders>
            <w:shd w:val="clear" w:color="4472C4" w:fill="FFFFFF"/>
            <w:vAlign w:val="center"/>
            <w:hideMark/>
          </w:tcPr>
          <w:p w14:paraId="3C047ED2" w14:textId="487769E9" w:rsidR="008256C7" w:rsidRPr="008B4A14" w:rsidRDefault="008256C7" w:rsidP="008256C7">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E</w:t>
            </w:r>
            <w:r w:rsidRPr="008B4A14">
              <w:rPr>
                <w:rFonts w:asciiTheme="majorHAnsi" w:eastAsia="Times New Roman" w:hAnsiTheme="majorHAnsi" w:cstheme="majorHAnsi"/>
                <w:b/>
                <w:bCs/>
                <w:sz w:val="18"/>
                <w:szCs w:val="18"/>
                <w:lang w:eastAsia="es-CO"/>
              </w:rPr>
              <w:t>strategias para el fortalecimiento de canales de atención</w:t>
            </w:r>
          </w:p>
        </w:tc>
        <w:tc>
          <w:tcPr>
            <w:tcW w:w="672" w:type="pct"/>
            <w:tcBorders>
              <w:top w:val="nil"/>
              <w:left w:val="nil"/>
              <w:bottom w:val="single" w:sz="4" w:space="0" w:color="auto"/>
              <w:right w:val="single" w:sz="4" w:space="0" w:color="auto"/>
            </w:tcBorders>
            <w:shd w:val="clear" w:color="4472C4" w:fill="FFFFFF"/>
            <w:vAlign w:val="center"/>
            <w:hideMark/>
          </w:tcPr>
          <w:p w14:paraId="13820D9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General</w:t>
            </w:r>
          </w:p>
        </w:tc>
        <w:tc>
          <w:tcPr>
            <w:tcW w:w="670" w:type="pct"/>
            <w:tcBorders>
              <w:top w:val="nil"/>
              <w:left w:val="nil"/>
              <w:bottom w:val="single" w:sz="4" w:space="0" w:color="auto"/>
              <w:right w:val="single" w:sz="4" w:space="0" w:color="auto"/>
            </w:tcBorders>
            <w:shd w:val="clear" w:color="4472C4" w:fill="FFFFFF"/>
            <w:vAlign w:val="center"/>
            <w:hideMark/>
          </w:tcPr>
          <w:p w14:paraId="7F4F2DE4"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Departamento Administrativo de Planeación</w:t>
            </w:r>
          </w:p>
        </w:tc>
        <w:tc>
          <w:tcPr>
            <w:tcW w:w="233" w:type="pct"/>
            <w:tcBorders>
              <w:top w:val="nil"/>
              <w:left w:val="nil"/>
              <w:bottom w:val="single" w:sz="4" w:space="0" w:color="auto"/>
              <w:right w:val="single" w:sz="4" w:space="0" w:color="auto"/>
            </w:tcBorders>
            <w:shd w:val="clear" w:color="auto" w:fill="auto"/>
            <w:noWrap/>
            <w:vAlign w:val="center"/>
            <w:hideMark/>
          </w:tcPr>
          <w:p w14:paraId="1BA08934"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hideMark/>
          </w:tcPr>
          <w:p w14:paraId="78BC4FA7"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6B48A99C"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hideMark/>
          </w:tcPr>
          <w:p w14:paraId="5D9FADE5" w14:textId="77777777" w:rsidR="008256C7" w:rsidRPr="008B4A14" w:rsidRDefault="008256C7" w:rsidP="008256C7">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4472C4" w:fill="AEAAAA"/>
            <w:vAlign w:val="center"/>
            <w:hideMark/>
          </w:tcPr>
          <w:p w14:paraId="51DF1D81"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hideMark/>
          </w:tcPr>
          <w:p w14:paraId="777BCC9B" w14:textId="77777777" w:rsidR="008256C7" w:rsidRPr="008B4A14" w:rsidRDefault="008256C7" w:rsidP="008256C7">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B44032" w:rsidRPr="0031240F" w14:paraId="615AB036" w14:textId="77777777" w:rsidTr="00A339E0">
        <w:trPr>
          <w:trHeight w:val="975"/>
        </w:trPr>
        <w:tc>
          <w:tcPr>
            <w:tcW w:w="180" w:type="pct"/>
            <w:tcBorders>
              <w:top w:val="nil"/>
              <w:left w:val="single" w:sz="4" w:space="0" w:color="auto"/>
              <w:bottom w:val="single" w:sz="4" w:space="0" w:color="auto"/>
              <w:right w:val="single" w:sz="4" w:space="0" w:color="auto"/>
            </w:tcBorders>
            <w:shd w:val="clear" w:color="4472C4" w:fill="FFFFFF"/>
            <w:vAlign w:val="center"/>
          </w:tcPr>
          <w:p w14:paraId="3D826C34" w14:textId="39843C39"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17</w:t>
            </w:r>
          </w:p>
        </w:tc>
        <w:tc>
          <w:tcPr>
            <w:tcW w:w="1308" w:type="pct"/>
            <w:tcBorders>
              <w:top w:val="nil"/>
              <w:left w:val="nil"/>
              <w:bottom w:val="single" w:sz="4" w:space="0" w:color="auto"/>
              <w:right w:val="single" w:sz="4" w:space="0" w:color="auto"/>
            </w:tcBorders>
            <w:shd w:val="clear" w:color="4472C4" w:fill="FFFFFF"/>
            <w:vAlign w:val="center"/>
          </w:tcPr>
          <w:p w14:paraId="4F7DEDC4" w14:textId="21071CC4" w:rsidR="00B44032" w:rsidRPr="008B4A14" w:rsidRDefault="00B44032" w:rsidP="00B44032">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Definir estrategias de fortalecimiento para la Atención oportuna de las PQRSD</w:t>
            </w:r>
          </w:p>
        </w:tc>
        <w:tc>
          <w:tcPr>
            <w:tcW w:w="671" w:type="pct"/>
            <w:tcBorders>
              <w:top w:val="nil"/>
              <w:left w:val="nil"/>
              <w:bottom w:val="single" w:sz="4" w:space="0" w:color="auto"/>
              <w:right w:val="single" w:sz="4" w:space="0" w:color="auto"/>
            </w:tcBorders>
            <w:shd w:val="clear" w:color="4472C4" w:fill="FFFFFF"/>
            <w:vAlign w:val="center"/>
          </w:tcPr>
          <w:p w14:paraId="2D17611B" w14:textId="28E75EAD" w:rsidR="00B44032" w:rsidRDefault="00B44032" w:rsidP="00B44032">
            <w:pPr>
              <w:spacing w:after="0" w:line="240" w:lineRule="auto"/>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Estrategias de fortalecimiento de PQRSD</w:t>
            </w:r>
          </w:p>
        </w:tc>
        <w:tc>
          <w:tcPr>
            <w:tcW w:w="672" w:type="pct"/>
            <w:tcBorders>
              <w:top w:val="nil"/>
              <w:left w:val="nil"/>
              <w:bottom w:val="single" w:sz="4" w:space="0" w:color="auto"/>
              <w:right w:val="single" w:sz="4" w:space="0" w:color="auto"/>
            </w:tcBorders>
            <w:shd w:val="clear" w:color="4472C4" w:fill="FFFFFF"/>
            <w:vAlign w:val="center"/>
          </w:tcPr>
          <w:p w14:paraId="74F507AC" w14:textId="4F27D3A9"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General</w:t>
            </w:r>
          </w:p>
        </w:tc>
        <w:tc>
          <w:tcPr>
            <w:tcW w:w="670" w:type="pct"/>
            <w:tcBorders>
              <w:top w:val="nil"/>
              <w:left w:val="nil"/>
              <w:bottom w:val="single" w:sz="4" w:space="0" w:color="auto"/>
              <w:right w:val="single" w:sz="4" w:space="0" w:color="auto"/>
            </w:tcBorders>
            <w:shd w:val="clear" w:color="4472C4" w:fill="FFFFFF"/>
            <w:vAlign w:val="center"/>
          </w:tcPr>
          <w:p w14:paraId="77343A88" w14:textId="45EFD8CE"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las Comunicaciones</w:t>
            </w:r>
          </w:p>
        </w:tc>
        <w:tc>
          <w:tcPr>
            <w:tcW w:w="233" w:type="pct"/>
            <w:tcBorders>
              <w:top w:val="nil"/>
              <w:left w:val="nil"/>
              <w:bottom w:val="single" w:sz="4" w:space="0" w:color="auto"/>
              <w:right w:val="single" w:sz="4" w:space="0" w:color="auto"/>
            </w:tcBorders>
            <w:shd w:val="clear" w:color="auto" w:fill="auto"/>
            <w:noWrap/>
            <w:vAlign w:val="center"/>
          </w:tcPr>
          <w:p w14:paraId="29B666B9" w14:textId="1D5D2B95"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tcPr>
          <w:p w14:paraId="558F8FA9" w14:textId="1A5DB751"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tcPr>
          <w:p w14:paraId="7F873908" w14:textId="184E5D25"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tcPr>
          <w:p w14:paraId="01A3E4AA" w14:textId="11580932"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4472C4" w:fill="AEAAAA"/>
            <w:vAlign w:val="center"/>
          </w:tcPr>
          <w:p w14:paraId="078811DF" w14:textId="796571D7"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c>
          <w:tcPr>
            <w:tcW w:w="232" w:type="pct"/>
            <w:tcBorders>
              <w:top w:val="nil"/>
              <w:left w:val="nil"/>
              <w:bottom w:val="single" w:sz="4" w:space="0" w:color="auto"/>
              <w:right w:val="single" w:sz="4" w:space="0" w:color="auto"/>
            </w:tcBorders>
            <w:shd w:val="clear" w:color="4472C4" w:fill="AEAAAA"/>
            <w:vAlign w:val="center"/>
          </w:tcPr>
          <w:p w14:paraId="0A224FC3" w14:textId="43CD4B87"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r w:rsidR="00B44032" w:rsidRPr="0031240F" w14:paraId="60D27764" w14:textId="77777777" w:rsidTr="00B44032">
        <w:trPr>
          <w:trHeight w:val="945"/>
        </w:trPr>
        <w:tc>
          <w:tcPr>
            <w:tcW w:w="180" w:type="pct"/>
            <w:tcBorders>
              <w:top w:val="nil"/>
              <w:left w:val="single" w:sz="4" w:space="0" w:color="auto"/>
              <w:bottom w:val="single" w:sz="4" w:space="0" w:color="auto"/>
              <w:right w:val="single" w:sz="4" w:space="0" w:color="auto"/>
            </w:tcBorders>
            <w:shd w:val="clear" w:color="4472C4" w:fill="FFFFFF"/>
            <w:vAlign w:val="center"/>
          </w:tcPr>
          <w:p w14:paraId="3EA114C6" w14:textId="1FF65F92"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18</w:t>
            </w:r>
          </w:p>
        </w:tc>
        <w:tc>
          <w:tcPr>
            <w:tcW w:w="1308" w:type="pct"/>
            <w:tcBorders>
              <w:top w:val="nil"/>
              <w:left w:val="nil"/>
              <w:bottom w:val="single" w:sz="4" w:space="0" w:color="auto"/>
              <w:right w:val="single" w:sz="4" w:space="0" w:color="auto"/>
            </w:tcBorders>
            <w:shd w:val="clear" w:color="4472C4" w:fill="FFFFFF"/>
            <w:vAlign w:val="center"/>
            <w:hideMark/>
          </w:tcPr>
          <w:p w14:paraId="44A6BA8F" w14:textId="22018A3A" w:rsidR="00B44032" w:rsidRPr="008B4A14" w:rsidRDefault="00B44032" w:rsidP="00B44032">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 xml:space="preserve">Realizar </w:t>
            </w:r>
            <w:r w:rsidR="004562F5">
              <w:rPr>
                <w:rFonts w:asciiTheme="majorHAnsi" w:eastAsia="Times New Roman" w:hAnsiTheme="majorHAnsi" w:cstheme="majorHAnsi"/>
                <w:b/>
                <w:bCs/>
                <w:sz w:val="18"/>
                <w:szCs w:val="18"/>
                <w:lang w:eastAsia="es-CO"/>
              </w:rPr>
              <w:t>e</w:t>
            </w:r>
            <w:r>
              <w:rPr>
                <w:rFonts w:asciiTheme="majorHAnsi" w:eastAsia="Times New Roman" w:hAnsiTheme="majorHAnsi" w:cstheme="majorHAnsi"/>
                <w:b/>
                <w:bCs/>
                <w:sz w:val="18"/>
                <w:szCs w:val="18"/>
                <w:lang w:eastAsia="es-CO"/>
              </w:rPr>
              <w:t xml:space="preserve">valuación al cumplimiento de las acciones del </w:t>
            </w:r>
            <w:r w:rsidRPr="008B4A14">
              <w:rPr>
                <w:rFonts w:asciiTheme="majorHAnsi" w:eastAsia="Times New Roman" w:hAnsiTheme="majorHAnsi" w:cstheme="majorHAnsi"/>
                <w:b/>
                <w:bCs/>
                <w:sz w:val="18"/>
                <w:szCs w:val="18"/>
                <w:lang w:eastAsia="es-CO"/>
              </w:rPr>
              <w:t xml:space="preserve">Plan de Transición </w:t>
            </w:r>
            <w:r>
              <w:rPr>
                <w:rFonts w:asciiTheme="majorHAnsi" w:eastAsia="Times New Roman" w:hAnsiTheme="majorHAnsi" w:cstheme="majorHAnsi"/>
                <w:b/>
                <w:bCs/>
                <w:sz w:val="18"/>
                <w:szCs w:val="18"/>
                <w:lang w:eastAsia="es-CO"/>
              </w:rPr>
              <w:t xml:space="preserve">al </w:t>
            </w:r>
            <w:r>
              <w:rPr>
                <w:rFonts w:asciiTheme="majorHAnsi" w:eastAsia="Times New Roman" w:hAnsiTheme="majorHAnsi" w:cstheme="majorHAnsi"/>
                <w:b/>
                <w:bCs/>
                <w:sz w:val="18"/>
                <w:szCs w:val="18"/>
                <w:lang w:eastAsia="es-CO"/>
              </w:rPr>
              <w:t>Programa de Transparencia y Ética Pública</w:t>
            </w:r>
          </w:p>
        </w:tc>
        <w:tc>
          <w:tcPr>
            <w:tcW w:w="671" w:type="pct"/>
            <w:tcBorders>
              <w:top w:val="nil"/>
              <w:left w:val="nil"/>
              <w:bottom w:val="single" w:sz="4" w:space="0" w:color="auto"/>
              <w:right w:val="single" w:sz="4" w:space="0" w:color="auto"/>
            </w:tcBorders>
            <w:shd w:val="clear" w:color="4472C4" w:fill="FFFFFF"/>
            <w:vAlign w:val="center"/>
            <w:hideMark/>
          </w:tcPr>
          <w:p w14:paraId="4B4FD67E" w14:textId="764EFA65" w:rsidR="00B44032" w:rsidRPr="008B4A14" w:rsidRDefault="00B44032" w:rsidP="00B44032">
            <w:pPr>
              <w:spacing w:after="0" w:line="240" w:lineRule="auto"/>
              <w:rPr>
                <w:rFonts w:asciiTheme="majorHAnsi" w:eastAsia="Times New Roman" w:hAnsiTheme="majorHAnsi" w:cstheme="majorHAnsi"/>
                <w:b/>
                <w:bCs/>
                <w:sz w:val="18"/>
                <w:szCs w:val="18"/>
                <w:lang w:eastAsia="es-CO"/>
              </w:rPr>
            </w:pPr>
            <w:r>
              <w:rPr>
                <w:rFonts w:asciiTheme="majorHAnsi" w:eastAsia="Times New Roman" w:hAnsiTheme="majorHAnsi" w:cstheme="majorHAnsi"/>
                <w:b/>
                <w:bCs/>
                <w:sz w:val="18"/>
                <w:szCs w:val="18"/>
                <w:lang w:eastAsia="es-CO"/>
              </w:rPr>
              <w:t xml:space="preserve">Evaluación del Plan de Transición </w:t>
            </w:r>
          </w:p>
        </w:tc>
        <w:tc>
          <w:tcPr>
            <w:tcW w:w="672" w:type="pct"/>
            <w:tcBorders>
              <w:top w:val="nil"/>
              <w:left w:val="nil"/>
              <w:bottom w:val="single" w:sz="4" w:space="0" w:color="auto"/>
              <w:right w:val="single" w:sz="4" w:space="0" w:color="auto"/>
            </w:tcBorders>
            <w:shd w:val="clear" w:color="4472C4" w:fill="FFFFFF"/>
            <w:vAlign w:val="center"/>
            <w:hideMark/>
          </w:tcPr>
          <w:p w14:paraId="50E471BF" w14:textId="58994811"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Secretaría de Evaluación de Control.</w:t>
            </w:r>
          </w:p>
        </w:tc>
        <w:tc>
          <w:tcPr>
            <w:tcW w:w="670" w:type="pct"/>
            <w:tcBorders>
              <w:top w:val="nil"/>
              <w:left w:val="nil"/>
              <w:bottom w:val="single" w:sz="4" w:space="0" w:color="auto"/>
              <w:right w:val="single" w:sz="4" w:space="0" w:color="auto"/>
            </w:tcBorders>
            <w:shd w:val="clear" w:color="4472C4" w:fill="FFFFFF"/>
            <w:vAlign w:val="center"/>
            <w:hideMark/>
          </w:tcPr>
          <w:p w14:paraId="66EC7B49" w14:textId="1266831E"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p>
        </w:tc>
        <w:tc>
          <w:tcPr>
            <w:tcW w:w="233" w:type="pct"/>
            <w:tcBorders>
              <w:top w:val="nil"/>
              <w:left w:val="nil"/>
              <w:bottom w:val="single" w:sz="4" w:space="0" w:color="auto"/>
              <w:right w:val="single" w:sz="4" w:space="0" w:color="auto"/>
            </w:tcBorders>
            <w:shd w:val="clear" w:color="auto" w:fill="auto"/>
            <w:noWrap/>
            <w:vAlign w:val="center"/>
            <w:hideMark/>
          </w:tcPr>
          <w:p w14:paraId="194283A0" w14:textId="77777777"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30" w:type="pct"/>
            <w:tcBorders>
              <w:top w:val="nil"/>
              <w:left w:val="nil"/>
              <w:bottom w:val="single" w:sz="4" w:space="0" w:color="auto"/>
              <w:right w:val="single" w:sz="4" w:space="0" w:color="auto"/>
            </w:tcBorders>
            <w:shd w:val="clear" w:color="auto" w:fill="auto"/>
            <w:noWrap/>
            <w:vAlign w:val="center"/>
            <w:hideMark/>
          </w:tcPr>
          <w:p w14:paraId="27C05E61" w14:textId="77777777"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78" w:type="pct"/>
            <w:tcBorders>
              <w:top w:val="nil"/>
              <w:left w:val="nil"/>
              <w:bottom w:val="single" w:sz="4" w:space="0" w:color="auto"/>
              <w:right w:val="single" w:sz="4" w:space="0" w:color="auto"/>
            </w:tcBorders>
            <w:shd w:val="clear" w:color="auto" w:fill="auto"/>
            <w:noWrap/>
            <w:vAlign w:val="center"/>
            <w:hideMark/>
          </w:tcPr>
          <w:p w14:paraId="19F16D22" w14:textId="77777777"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46" w:type="pct"/>
            <w:tcBorders>
              <w:top w:val="nil"/>
              <w:left w:val="nil"/>
              <w:bottom w:val="single" w:sz="4" w:space="0" w:color="auto"/>
              <w:right w:val="single" w:sz="4" w:space="0" w:color="auto"/>
            </w:tcBorders>
            <w:shd w:val="clear" w:color="auto" w:fill="auto"/>
            <w:noWrap/>
            <w:vAlign w:val="center"/>
            <w:hideMark/>
          </w:tcPr>
          <w:p w14:paraId="5DF4662D" w14:textId="77777777" w:rsidR="00B44032" w:rsidRPr="008B4A14" w:rsidRDefault="00B44032" w:rsidP="00B44032">
            <w:pPr>
              <w:spacing w:after="0" w:line="240" w:lineRule="auto"/>
              <w:rPr>
                <w:rFonts w:asciiTheme="majorHAnsi" w:eastAsia="Times New Roman" w:hAnsiTheme="majorHAnsi" w:cstheme="majorHAnsi"/>
                <w:color w:val="000000"/>
                <w:sz w:val="18"/>
                <w:szCs w:val="18"/>
                <w:lang w:eastAsia="es-CO"/>
              </w:rPr>
            </w:pPr>
            <w:r w:rsidRPr="008B4A14">
              <w:rPr>
                <w:rFonts w:asciiTheme="majorHAnsi" w:eastAsia="Times New Roman" w:hAnsiTheme="majorHAnsi" w:cstheme="majorHAnsi"/>
                <w:color w:val="000000"/>
                <w:sz w:val="18"/>
                <w:szCs w:val="18"/>
                <w:lang w:eastAsia="es-CO"/>
              </w:rPr>
              <w:t> </w:t>
            </w:r>
          </w:p>
        </w:tc>
        <w:tc>
          <w:tcPr>
            <w:tcW w:w="280" w:type="pct"/>
            <w:tcBorders>
              <w:top w:val="nil"/>
              <w:left w:val="nil"/>
              <w:bottom w:val="single" w:sz="4" w:space="0" w:color="auto"/>
              <w:right w:val="single" w:sz="4" w:space="0" w:color="auto"/>
            </w:tcBorders>
            <w:shd w:val="clear" w:color="auto" w:fill="auto"/>
            <w:vAlign w:val="center"/>
            <w:hideMark/>
          </w:tcPr>
          <w:p w14:paraId="0400A85D" w14:textId="49BD22C1"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p>
        </w:tc>
        <w:tc>
          <w:tcPr>
            <w:tcW w:w="232" w:type="pct"/>
            <w:tcBorders>
              <w:top w:val="nil"/>
              <w:left w:val="nil"/>
              <w:bottom w:val="single" w:sz="4" w:space="0" w:color="auto"/>
              <w:right w:val="single" w:sz="4" w:space="0" w:color="auto"/>
            </w:tcBorders>
            <w:shd w:val="clear" w:color="4472C4" w:fill="AEAAAA"/>
            <w:vAlign w:val="center"/>
            <w:hideMark/>
          </w:tcPr>
          <w:p w14:paraId="2847AD5C" w14:textId="77777777" w:rsidR="00B44032" w:rsidRPr="008B4A14" w:rsidRDefault="00B44032" w:rsidP="00B44032">
            <w:pPr>
              <w:spacing w:after="0" w:line="240" w:lineRule="auto"/>
              <w:jc w:val="center"/>
              <w:rPr>
                <w:rFonts w:asciiTheme="majorHAnsi" w:eastAsia="Times New Roman" w:hAnsiTheme="majorHAnsi" w:cstheme="majorHAnsi"/>
                <w:b/>
                <w:bCs/>
                <w:sz w:val="18"/>
                <w:szCs w:val="18"/>
                <w:lang w:eastAsia="es-CO"/>
              </w:rPr>
            </w:pPr>
            <w:r w:rsidRPr="008B4A14">
              <w:rPr>
                <w:rFonts w:asciiTheme="majorHAnsi" w:eastAsia="Times New Roman" w:hAnsiTheme="majorHAnsi" w:cstheme="majorHAnsi"/>
                <w:b/>
                <w:bCs/>
                <w:sz w:val="18"/>
                <w:szCs w:val="18"/>
                <w:lang w:eastAsia="es-CO"/>
              </w:rPr>
              <w:t>X</w:t>
            </w:r>
          </w:p>
        </w:tc>
      </w:tr>
    </w:tbl>
    <w:p w14:paraId="617338B3" w14:textId="77777777" w:rsidR="0005192E" w:rsidRDefault="0005192E" w:rsidP="00E709CA">
      <w:pPr>
        <w:jc w:val="both"/>
      </w:pPr>
    </w:p>
    <w:p w14:paraId="2A983FAA" w14:textId="7737AF8F" w:rsidR="00E709CA" w:rsidRPr="00535362" w:rsidRDefault="00535362" w:rsidP="00E709CA">
      <w:pPr>
        <w:jc w:val="both"/>
        <w:rPr>
          <w:b/>
          <w:bCs/>
          <w:color w:val="1F3864" w:themeColor="accent5" w:themeShade="80"/>
        </w:rPr>
      </w:pPr>
      <w:r w:rsidRPr="00535362">
        <w:rPr>
          <w:b/>
          <w:bCs/>
          <w:color w:val="1F3864" w:themeColor="accent5" w:themeShade="80"/>
        </w:rPr>
        <w:t xml:space="preserve">Seguimiento </w:t>
      </w:r>
      <w:r w:rsidR="00B44032">
        <w:rPr>
          <w:b/>
          <w:bCs/>
          <w:color w:val="1F3864" w:themeColor="accent5" w:themeShade="80"/>
        </w:rPr>
        <w:t xml:space="preserve">y evaluación </w:t>
      </w:r>
      <w:r w:rsidRPr="00535362">
        <w:rPr>
          <w:b/>
          <w:bCs/>
          <w:color w:val="1F3864" w:themeColor="accent5" w:themeShade="80"/>
        </w:rPr>
        <w:t xml:space="preserve">al </w:t>
      </w:r>
      <w:r>
        <w:rPr>
          <w:b/>
          <w:bCs/>
          <w:color w:val="1F3864" w:themeColor="accent5" w:themeShade="80"/>
        </w:rPr>
        <w:t>P</w:t>
      </w:r>
      <w:r w:rsidRPr="00535362">
        <w:rPr>
          <w:b/>
          <w:bCs/>
          <w:color w:val="1F3864" w:themeColor="accent5" w:themeShade="80"/>
        </w:rPr>
        <w:t xml:space="preserve">lan de </w:t>
      </w:r>
      <w:r>
        <w:rPr>
          <w:b/>
          <w:bCs/>
          <w:color w:val="1F3864" w:themeColor="accent5" w:themeShade="80"/>
        </w:rPr>
        <w:t>T</w:t>
      </w:r>
      <w:r w:rsidRPr="00535362">
        <w:rPr>
          <w:b/>
          <w:bCs/>
          <w:color w:val="1F3864" w:themeColor="accent5" w:themeShade="80"/>
        </w:rPr>
        <w:t>ransición del Programa de Transparencia y Ética Pública</w:t>
      </w:r>
    </w:p>
    <w:p w14:paraId="579B1476" w14:textId="0AB34EE9" w:rsidR="00535362" w:rsidRDefault="00535362" w:rsidP="00E709CA">
      <w:pPr>
        <w:jc w:val="both"/>
      </w:pPr>
      <w:r>
        <w:t>De acuerdo con las acciones establecidas para el primer semestre de la vigencia 2025, se realizará seguimiento a las acciones propuestas de manera bimestral, el reporte de la ejecución de las mismas, será reportado al Departamento Administrativo de Planeación quien es el responsable de realizar el monitoreo.</w:t>
      </w:r>
    </w:p>
    <w:p w14:paraId="051387BE" w14:textId="654038CA" w:rsidR="00535362" w:rsidRDefault="00535362" w:rsidP="00E709CA">
      <w:pPr>
        <w:jc w:val="both"/>
      </w:pPr>
      <w:r>
        <w:t xml:space="preserve">La Secretaría de Evaluación y control en su labor de tercera línea de defensa </w:t>
      </w:r>
      <w:r w:rsidR="00B44032">
        <w:t>realiza la evaluación de la ejecución de las acciones del plan de transición</w:t>
      </w:r>
      <w:r w:rsidR="00555A34">
        <w:t>, de igual manera para</w:t>
      </w:r>
      <w:r>
        <w:t xml:space="preserve"> el caso del Programa de Transparencia </w:t>
      </w:r>
      <w:r>
        <w:lastRenderedPageBreak/>
        <w:t>y Ética pública, por ello desde el Departamento Administrativo de Planeación se reportará el seguimiento del present</w:t>
      </w:r>
      <w:r w:rsidR="00555A34">
        <w:t>e</w:t>
      </w:r>
      <w:r>
        <w:t xml:space="preserve"> Plan de Transición. </w:t>
      </w:r>
    </w:p>
    <w:p w14:paraId="595A8B1A" w14:textId="77777777" w:rsidR="005207FB" w:rsidRDefault="005207FB" w:rsidP="00E709CA">
      <w:pPr>
        <w:jc w:val="both"/>
      </w:pPr>
    </w:p>
    <w:p w14:paraId="47A84ACF" w14:textId="26F01E6A" w:rsidR="00535362" w:rsidRPr="008256C7" w:rsidRDefault="005207FB" w:rsidP="00E709CA">
      <w:pPr>
        <w:jc w:val="both"/>
        <w:rPr>
          <w:b/>
          <w:bCs/>
          <w:color w:val="1F3864" w:themeColor="accent5" w:themeShade="80"/>
        </w:rPr>
      </w:pPr>
      <w:r w:rsidRPr="008256C7">
        <w:rPr>
          <w:b/>
          <w:bCs/>
          <w:color w:val="1F3864" w:themeColor="accent5" w:themeShade="80"/>
        </w:rPr>
        <w:t>OBSERVACIONES, RECOMENDACIONES Y SUGERENCIAS</w:t>
      </w:r>
    </w:p>
    <w:p w14:paraId="2BDD56D3" w14:textId="03B22382" w:rsidR="008256C7" w:rsidRDefault="008256C7" w:rsidP="008256C7">
      <w:pPr>
        <w:jc w:val="both"/>
      </w:pPr>
      <w:r>
        <w:t>Una vez publicado el presente documento se pondrá a disposición de la comunidad en general en un término de 15 días hábiles a partir de su publicación, c</w:t>
      </w:r>
      <w:r w:rsidR="005207FB" w:rsidRPr="005D4921">
        <w:t>on el fin de recibir las</w:t>
      </w:r>
      <w:r w:rsidR="005207FB">
        <w:t xml:space="preserve"> </w:t>
      </w:r>
      <w:r w:rsidR="005207FB" w:rsidRPr="005D4921">
        <w:t>recomendaciones, sugerencias y retroalimentación por parte de los grupos de interés del</w:t>
      </w:r>
      <w:r w:rsidR="005207FB">
        <w:t xml:space="preserve"> Municipio de Itagüí</w:t>
      </w:r>
      <w:r>
        <w:t xml:space="preserve">, estos deberán ser remitidos al correo </w:t>
      </w:r>
      <w:hyperlink r:id="rId10" w:history="1">
        <w:r w:rsidRPr="005C6767">
          <w:rPr>
            <w:rStyle w:val="Hipervnculo"/>
          </w:rPr>
          <w:t>plananticorrupcion</w:t>
        </w:r>
        <w:r w:rsidRPr="005C6767">
          <w:rPr>
            <w:rStyle w:val="Hipervnculo"/>
            <w:rFonts w:cstheme="minorHAnsi"/>
          </w:rPr>
          <w:t>@</w:t>
        </w:r>
        <w:r w:rsidRPr="005C6767">
          <w:rPr>
            <w:rStyle w:val="Hipervnculo"/>
          </w:rPr>
          <w:t>itagui.gov.co</w:t>
        </w:r>
      </w:hyperlink>
      <w:r>
        <w:t xml:space="preserve"> donde el Departamento Administrativo de Planeación realizaría el análisis de los mismos y la pertinencia en la inclusión o modificación de acciones propuestas.</w:t>
      </w:r>
    </w:p>
    <w:p w14:paraId="7BA69F94" w14:textId="6558AA47" w:rsidR="005207FB" w:rsidRDefault="005207FB" w:rsidP="005207FB">
      <w:pPr>
        <w:jc w:val="both"/>
      </w:pPr>
    </w:p>
    <w:sectPr w:rsidR="005207FB" w:rsidSect="00161473">
      <w:headerReference w:type="even" r:id="rId11"/>
      <w:headerReference w:type="default" r:id="rId12"/>
      <w:footerReference w:type="default" r:id="rId13"/>
      <w:headerReference w:type="first" r:id="rId14"/>
      <w:pgSz w:w="12240" w:h="15840"/>
      <w:pgMar w:top="2835" w:right="1021" w:bottom="1985"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7B8B2" w14:textId="77777777" w:rsidR="00C73F12" w:rsidRDefault="00C73F12" w:rsidP="00F55049">
      <w:pPr>
        <w:spacing w:after="0" w:line="240" w:lineRule="auto"/>
      </w:pPr>
      <w:r>
        <w:separator/>
      </w:r>
    </w:p>
  </w:endnote>
  <w:endnote w:type="continuationSeparator" w:id="0">
    <w:p w14:paraId="0A27F46D" w14:textId="77777777" w:rsidR="00C73F12" w:rsidRDefault="00C73F12" w:rsidP="00F5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2B05" w14:textId="77777777" w:rsidR="00725D74" w:rsidRDefault="00725D74">
    <w:pPr>
      <w:pStyle w:val="Piedepgina"/>
      <w:jc w:val="right"/>
    </w:pPr>
  </w:p>
  <w:p w14:paraId="5F8E50EE" w14:textId="77777777" w:rsidR="00725D74" w:rsidRDefault="00725D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CC678" w14:textId="77777777" w:rsidR="00C73F12" w:rsidRDefault="00C73F12" w:rsidP="00F55049">
      <w:pPr>
        <w:spacing w:after="0" w:line="240" w:lineRule="auto"/>
      </w:pPr>
      <w:r>
        <w:separator/>
      </w:r>
    </w:p>
  </w:footnote>
  <w:footnote w:type="continuationSeparator" w:id="0">
    <w:p w14:paraId="33073FAC" w14:textId="77777777" w:rsidR="00C73F12" w:rsidRDefault="00C73F12" w:rsidP="00F55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3992" w14:textId="1D01ED0D" w:rsidR="00725D74" w:rsidRDefault="00000000">
    <w:pPr>
      <w:pStyle w:val="Encabezado"/>
    </w:pPr>
    <w:r>
      <w:rPr>
        <w:noProof/>
      </w:rPr>
      <w:pict w14:anchorId="6DEFC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48704" o:spid="_x0000_s1083" type="#_x0000_t75" style="position:absolute;margin-left:0;margin-top:0;width:612.45pt;height:794.05pt;z-index:-251657216;mso-position-horizontal:center;mso-position-horizontal-relative:margin;mso-position-vertical:center;mso-position-vertical-relative:margin" o:allowincell="f">
          <v:imagedata r:id="rId1" o:title="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6676F" w14:textId="0E574241" w:rsidR="00725D74" w:rsidRDefault="00725D74">
    <w:pPr>
      <w:pStyle w:val="Encabezado"/>
    </w:pPr>
    <w:r>
      <w:rPr>
        <w:noProof/>
        <w:lang w:eastAsia="es-CO"/>
      </w:rPr>
      <w:drawing>
        <wp:anchor distT="0" distB="0" distL="114300" distR="114300" simplePos="0" relativeHeight="251660288" behindDoc="1" locked="0" layoutInCell="1" allowOverlap="1" wp14:anchorId="4495629F" wp14:editId="5DB2C1BC">
          <wp:simplePos x="0" y="0"/>
          <wp:positionH relativeFrom="column">
            <wp:posOffset>-1080019</wp:posOffset>
          </wp:positionH>
          <wp:positionV relativeFrom="paragraph">
            <wp:posOffset>-450215</wp:posOffset>
          </wp:positionV>
          <wp:extent cx="7768320" cy="10080000"/>
          <wp:effectExtent l="0" t="0" r="4445" b="0"/>
          <wp:wrapNone/>
          <wp:docPr id="844158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58597"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68320" cy="1008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155A" w14:textId="6D043865" w:rsidR="00725D74" w:rsidRDefault="00000000">
    <w:pPr>
      <w:pStyle w:val="Encabezado"/>
    </w:pPr>
    <w:r>
      <w:rPr>
        <w:noProof/>
      </w:rPr>
      <w:pict w14:anchorId="55F46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48703" o:spid="_x0000_s1082" type="#_x0000_t75" style="position:absolute;margin-left:0;margin-top:0;width:612.45pt;height:794.05pt;z-index:-251658240;mso-position-horizontal:center;mso-position-horizontal-relative:margin;mso-position-vertical:center;mso-position-vertical-relative:margin" o:allowincell="f">
          <v:imagedata r:id="rId1" o:title="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7A2F6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896B92"/>
    <w:multiLevelType w:val="hybridMultilevel"/>
    <w:tmpl w:val="6BB45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286345"/>
    <w:multiLevelType w:val="hybridMultilevel"/>
    <w:tmpl w:val="443C31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FD5688C"/>
    <w:multiLevelType w:val="hybridMultilevel"/>
    <w:tmpl w:val="3A26169A"/>
    <w:lvl w:ilvl="0" w:tplc="57527FA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4644DA4"/>
    <w:multiLevelType w:val="hybridMultilevel"/>
    <w:tmpl w:val="5234EC7E"/>
    <w:lvl w:ilvl="0" w:tplc="124E9AE8">
      <w:start w:val="2"/>
      <w:numFmt w:val="lowerLetter"/>
      <w:lvlText w:val="%1."/>
      <w:lvlJc w:val="left"/>
      <w:pPr>
        <w:ind w:left="720" w:hanging="360"/>
      </w:pPr>
      <w:rPr>
        <w:rFonts w:ascii="Arial Narrow" w:eastAsia="Times New Roman" w:hAnsi="Arial Narrow" w:cs="Calibri" w:hint="default"/>
        <w:color w:val="00000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B9B0AE4"/>
    <w:multiLevelType w:val="hybridMultilevel"/>
    <w:tmpl w:val="6BB45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5262C2"/>
    <w:multiLevelType w:val="hybridMultilevel"/>
    <w:tmpl w:val="6BB45F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FEE0674"/>
    <w:multiLevelType w:val="hybridMultilevel"/>
    <w:tmpl w:val="7E9A8204"/>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5A9059A"/>
    <w:multiLevelType w:val="hybridMultilevel"/>
    <w:tmpl w:val="210899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57604856"/>
    <w:multiLevelType w:val="hybridMultilevel"/>
    <w:tmpl w:val="898EB7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B162785"/>
    <w:multiLevelType w:val="hybridMultilevel"/>
    <w:tmpl w:val="C3EA8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F3CC6F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CC17078"/>
    <w:multiLevelType w:val="hybridMultilevel"/>
    <w:tmpl w:val="FA14885C"/>
    <w:lvl w:ilvl="0" w:tplc="4082109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70727A2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31D7C9A"/>
    <w:multiLevelType w:val="hybridMultilevel"/>
    <w:tmpl w:val="F1ECB172"/>
    <w:lvl w:ilvl="0" w:tplc="5A54D5AE">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4547E39"/>
    <w:multiLevelType w:val="hybridMultilevel"/>
    <w:tmpl w:val="3D1CE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CA082D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FC21643"/>
    <w:multiLevelType w:val="hybridMultilevel"/>
    <w:tmpl w:val="7340BB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65840150">
    <w:abstractNumId w:val="17"/>
  </w:num>
  <w:num w:numId="2" w16cid:durableId="331612378">
    <w:abstractNumId w:val="9"/>
  </w:num>
  <w:num w:numId="3" w16cid:durableId="108358353">
    <w:abstractNumId w:val="1"/>
  </w:num>
  <w:num w:numId="4" w16cid:durableId="961155141">
    <w:abstractNumId w:val="5"/>
  </w:num>
  <w:num w:numId="5" w16cid:durableId="1164277641">
    <w:abstractNumId w:val="6"/>
  </w:num>
  <w:num w:numId="6" w16cid:durableId="1305086822">
    <w:abstractNumId w:val="12"/>
  </w:num>
  <w:num w:numId="7" w16cid:durableId="1510100277">
    <w:abstractNumId w:val="4"/>
  </w:num>
  <w:num w:numId="8" w16cid:durableId="279184702">
    <w:abstractNumId w:val="14"/>
  </w:num>
  <w:num w:numId="9" w16cid:durableId="2103722926">
    <w:abstractNumId w:val="3"/>
  </w:num>
  <w:num w:numId="10" w16cid:durableId="2117023441">
    <w:abstractNumId w:val="2"/>
  </w:num>
  <w:num w:numId="11" w16cid:durableId="1515462040">
    <w:abstractNumId w:val="13"/>
  </w:num>
  <w:num w:numId="12" w16cid:durableId="1328753085">
    <w:abstractNumId w:val="16"/>
  </w:num>
  <w:num w:numId="13" w16cid:durableId="1097143308">
    <w:abstractNumId w:val="11"/>
  </w:num>
  <w:num w:numId="14" w16cid:durableId="1765496307">
    <w:abstractNumId w:val="0"/>
  </w:num>
  <w:num w:numId="15" w16cid:durableId="444352906">
    <w:abstractNumId w:val="15"/>
  </w:num>
  <w:num w:numId="16" w16cid:durableId="1427917167">
    <w:abstractNumId w:val="10"/>
  </w:num>
  <w:num w:numId="17" w16cid:durableId="78135302">
    <w:abstractNumId w:val="7"/>
  </w:num>
  <w:num w:numId="18" w16cid:durableId="7778765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49"/>
    <w:rsid w:val="0002113C"/>
    <w:rsid w:val="0002793A"/>
    <w:rsid w:val="00040F16"/>
    <w:rsid w:val="00045D97"/>
    <w:rsid w:val="000510F9"/>
    <w:rsid w:val="0005192E"/>
    <w:rsid w:val="00066E9F"/>
    <w:rsid w:val="00071124"/>
    <w:rsid w:val="00087646"/>
    <w:rsid w:val="00091F31"/>
    <w:rsid w:val="000A2EAA"/>
    <w:rsid w:val="000A5EB6"/>
    <w:rsid w:val="000A7AC5"/>
    <w:rsid w:val="000B7423"/>
    <w:rsid w:val="000F6BA3"/>
    <w:rsid w:val="00105899"/>
    <w:rsid w:val="0011182A"/>
    <w:rsid w:val="0012292D"/>
    <w:rsid w:val="00132F92"/>
    <w:rsid w:val="0013633E"/>
    <w:rsid w:val="00137B92"/>
    <w:rsid w:val="00141077"/>
    <w:rsid w:val="00155B89"/>
    <w:rsid w:val="001600B5"/>
    <w:rsid w:val="00161473"/>
    <w:rsid w:val="001676C3"/>
    <w:rsid w:val="00177642"/>
    <w:rsid w:val="001B1905"/>
    <w:rsid w:val="001B514D"/>
    <w:rsid w:val="001E11AE"/>
    <w:rsid w:val="001E1E5A"/>
    <w:rsid w:val="001F12FC"/>
    <w:rsid w:val="001F6BE2"/>
    <w:rsid w:val="00202787"/>
    <w:rsid w:val="0021573A"/>
    <w:rsid w:val="0022504A"/>
    <w:rsid w:val="002336E8"/>
    <w:rsid w:val="002437E7"/>
    <w:rsid w:val="0025074A"/>
    <w:rsid w:val="00250D92"/>
    <w:rsid w:val="00260215"/>
    <w:rsid w:val="002766B4"/>
    <w:rsid w:val="00282158"/>
    <w:rsid w:val="002866A9"/>
    <w:rsid w:val="00293A77"/>
    <w:rsid w:val="002D300B"/>
    <w:rsid w:val="002F6796"/>
    <w:rsid w:val="00306640"/>
    <w:rsid w:val="0031240F"/>
    <w:rsid w:val="003262E6"/>
    <w:rsid w:val="003277D5"/>
    <w:rsid w:val="003352A4"/>
    <w:rsid w:val="00341A02"/>
    <w:rsid w:val="003469B3"/>
    <w:rsid w:val="0036707F"/>
    <w:rsid w:val="00373032"/>
    <w:rsid w:val="00375127"/>
    <w:rsid w:val="00377A5E"/>
    <w:rsid w:val="00385DD6"/>
    <w:rsid w:val="00396D72"/>
    <w:rsid w:val="003A2FBC"/>
    <w:rsid w:val="003C46D7"/>
    <w:rsid w:val="003E676F"/>
    <w:rsid w:val="003E6EF6"/>
    <w:rsid w:val="00401BB4"/>
    <w:rsid w:val="00411030"/>
    <w:rsid w:val="00451A97"/>
    <w:rsid w:val="004562F5"/>
    <w:rsid w:val="00457B4D"/>
    <w:rsid w:val="0047470E"/>
    <w:rsid w:val="004857D0"/>
    <w:rsid w:val="004A07A7"/>
    <w:rsid w:val="004B767B"/>
    <w:rsid w:val="004C1C68"/>
    <w:rsid w:val="004C30F2"/>
    <w:rsid w:val="004C3DB1"/>
    <w:rsid w:val="004D1729"/>
    <w:rsid w:val="00505F32"/>
    <w:rsid w:val="00520158"/>
    <w:rsid w:val="005207FB"/>
    <w:rsid w:val="0052184D"/>
    <w:rsid w:val="0052558A"/>
    <w:rsid w:val="00535362"/>
    <w:rsid w:val="00555A34"/>
    <w:rsid w:val="00570876"/>
    <w:rsid w:val="00573844"/>
    <w:rsid w:val="005B4E09"/>
    <w:rsid w:val="005B546D"/>
    <w:rsid w:val="005D4921"/>
    <w:rsid w:val="00600D97"/>
    <w:rsid w:val="006063A4"/>
    <w:rsid w:val="00627026"/>
    <w:rsid w:val="00637CD9"/>
    <w:rsid w:val="00640519"/>
    <w:rsid w:val="00646083"/>
    <w:rsid w:val="00647B3A"/>
    <w:rsid w:val="00655086"/>
    <w:rsid w:val="00665F1C"/>
    <w:rsid w:val="006815AF"/>
    <w:rsid w:val="00690C85"/>
    <w:rsid w:val="00693114"/>
    <w:rsid w:val="00695B71"/>
    <w:rsid w:val="006A07C5"/>
    <w:rsid w:val="006B748C"/>
    <w:rsid w:val="006C79C6"/>
    <w:rsid w:val="006E0FA0"/>
    <w:rsid w:val="006E1948"/>
    <w:rsid w:val="006E4CB4"/>
    <w:rsid w:val="006F4DFB"/>
    <w:rsid w:val="00703937"/>
    <w:rsid w:val="00707286"/>
    <w:rsid w:val="00711B04"/>
    <w:rsid w:val="00725D74"/>
    <w:rsid w:val="0073447A"/>
    <w:rsid w:val="007869CD"/>
    <w:rsid w:val="007B326D"/>
    <w:rsid w:val="007B6EAD"/>
    <w:rsid w:val="00800D31"/>
    <w:rsid w:val="008038A9"/>
    <w:rsid w:val="008174D3"/>
    <w:rsid w:val="008256C7"/>
    <w:rsid w:val="00833C03"/>
    <w:rsid w:val="00841EA0"/>
    <w:rsid w:val="00845A76"/>
    <w:rsid w:val="00855083"/>
    <w:rsid w:val="008713E9"/>
    <w:rsid w:val="0087418E"/>
    <w:rsid w:val="0088564A"/>
    <w:rsid w:val="0089275E"/>
    <w:rsid w:val="008A058D"/>
    <w:rsid w:val="008A7FF6"/>
    <w:rsid w:val="008B4A14"/>
    <w:rsid w:val="00903BC0"/>
    <w:rsid w:val="009222BD"/>
    <w:rsid w:val="00930E56"/>
    <w:rsid w:val="009369C9"/>
    <w:rsid w:val="00937138"/>
    <w:rsid w:val="0094427D"/>
    <w:rsid w:val="00946118"/>
    <w:rsid w:val="00946AA9"/>
    <w:rsid w:val="0096125B"/>
    <w:rsid w:val="009745C6"/>
    <w:rsid w:val="00986411"/>
    <w:rsid w:val="009A7BB8"/>
    <w:rsid w:val="009C2CEE"/>
    <w:rsid w:val="009D251A"/>
    <w:rsid w:val="009E25D3"/>
    <w:rsid w:val="009E29E4"/>
    <w:rsid w:val="009F0FA9"/>
    <w:rsid w:val="00A00A1B"/>
    <w:rsid w:val="00A339E0"/>
    <w:rsid w:val="00A3481E"/>
    <w:rsid w:val="00A42212"/>
    <w:rsid w:val="00A46BF4"/>
    <w:rsid w:val="00A72060"/>
    <w:rsid w:val="00A76268"/>
    <w:rsid w:val="00A76692"/>
    <w:rsid w:val="00A8392A"/>
    <w:rsid w:val="00A86CF4"/>
    <w:rsid w:val="00A9168E"/>
    <w:rsid w:val="00AA440A"/>
    <w:rsid w:val="00AB4D94"/>
    <w:rsid w:val="00AD4B20"/>
    <w:rsid w:val="00AF14FD"/>
    <w:rsid w:val="00B018ED"/>
    <w:rsid w:val="00B058E2"/>
    <w:rsid w:val="00B21F33"/>
    <w:rsid w:val="00B44032"/>
    <w:rsid w:val="00B524FF"/>
    <w:rsid w:val="00B52B29"/>
    <w:rsid w:val="00B55E85"/>
    <w:rsid w:val="00B612C0"/>
    <w:rsid w:val="00B82374"/>
    <w:rsid w:val="00B865CE"/>
    <w:rsid w:val="00B92AF1"/>
    <w:rsid w:val="00BA0C4D"/>
    <w:rsid w:val="00BB470F"/>
    <w:rsid w:val="00C22F4C"/>
    <w:rsid w:val="00C331E9"/>
    <w:rsid w:val="00C35571"/>
    <w:rsid w:val="00C40AF0"/>
    <w:rsid w:val="00C41B51"/>
    <w:rsid w:val="00C5345C"/>
    <w:rsid w:val="00C54DCD"/>
    <w:rsid w:val="00C57C22"/>
    <w:rsid w:val="00C73F12"/>
    <w:rsid w:val="00C778E0"/>
    <w:rsid w:val="00C91C1C"/>
    <w:rsid w:val="00CA656B"/>
    <w:rsid w:val="00CE02CE"/>
    <w:rsid w:val="00CE5A18"/>
    <w:rsid w:val="00D150EA"/>
    <w:rsid w:val="00D26878"/>
    <w:rsid w:val="00D2696E"/>
    <w:rsid w:val="00D3086B"/>
    <w:rsid w:val="00D3489E"/>
    <w:rsid w:val="00D63FA8"/>
    <w:rsid w:val="00D735E0"/>
    <w:rsid w:val="00D73A47"/>
    <w:rsid w:val="00D7482E"/>
    <w:rsid w:val="00D751C7"/>
    <w:rsid w:val="00D77683"/>
    <w:rsid w:val="00D848D7"/>
    <w:rsid w:val="00D908D6"/>
    <w:rsid w:val="00DA430C"/>
    <w:rsid w:val="00DB6B7A"/>
    <w:rsid w:val="00DB7C7B"/>
    <w:rsid w:val="00DD7329"/>
    <w:rsid w:val="00DE4039"/>
    <w:rsid w:val="00E00BCD"/>
    <w:rsid w:val="00E02DDB"/>
    <w:rsid w:val="00E03940"/>
    <w:rsid w:val="00E13685"/>
    <w:rsid w:val="00E17666"/>
    <w:rsid w:val="00E24DD1"/>
    <w:rsid w:val="00E279F0"/>
    <w:rsid w:val="00E47EEE"/>
    <w:rsid w:val="00E530AD"/>
    <w:rsid w:val="00E548B7"/>
    <w:rsid w:val="00E55A61"/>
    <w:rsid w:val="00E609F0"/>
    <w:rsid w:val="00E615FE"/>
    <w:rsid w:val="00E709CA"/>
    <w:rsid w:val="00E76426"/>
    <w:rsid w:val="00E832FA"/>
    <w:rsid w:val="00EB2F08"/>
    <w:rsid w:val="00EB69C0"/>
    <w:rsid w:val="00EC1EA3"/>
    <w:rsid w:val="00EC3DF5"/>
    <w:rsid w:val="00EC7662"/>
    <w:rsid w:val="00EF0747"/>
    <w:rsid w:val="00EF7387"/>
    <w:rsid w:val="00F03243"/>
    <w:rsid w:val="00F077E5"/>
    <w:rsid w:val="00F20AB0"/>
    <w:rsid w:val="00F55049"/>
    <w:rsid w:val="00F66A0E"/>
    <w:rsid w:val="00F83DB1"/>
    <w:rsid w:val="00F957DC"/>
    <w:rsid w:val="00FB010C"/>
    <w:rsid w:val="00FB01E1"/>
    <w:rsid w:val="00FE38F1"/>
    <w:rsid w:val="00FF0E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C5084"/>
  <w15:chartTrackingRefBased/>
  <w15:docId w15:val="{4D3DEB94-9471-41CA-A0DE-198BC3CD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937"/>
  </w:style>
  <w:style w:type="paragraph" w:styleId="Ttulo1">
    <w:name w:val="heading 1"/>
    <w:basedOn w:val="Normal"/>
    <w:next w:val="Normal"/>
    <w:link w:val="Ttulo1Car"/>
    <w:uiPriority w:val="9"/>
    <w:qFormat/>
    <w:rsid w:val="00C41B51"/>
    <w:pPr>
      <w:keepNext/>
      <w:keepLines/>
      <w:spacing w:before="240" w:after="0" w:line="278" w:lineRule="auto"/>
      <w:outlineLvl w:val="0"/>
    </w:pPr>
    <w:rPr>
      <w:rFonts w:ascii="Aptos Display" w:eastAsia="Times New Roman" w:hAnsi="Aptos Display" w:cs="Times New Roman"/>
      <w:color w:val="0F4761"/>
      <w:sz w:val="32"/>
      <w:szCs w:val="32"/>
      <w:lang w:val="es-ES"/>
    </w:rPr>
  </w:style>
  <w:style w:type="paragraph" w:styleId="Ttulo2">
    <w:name w:val="heading 2"/>
    <w:basedOn w:val="Normal"/>
    <w:next w:val="Normal"/>
    <w:link w:val="Ttulo2Car"/>
    <w:uiPriority w:val="9"/>
    <w:unhideWhenUsed/>
    <w:qFormat/>
    <w:rsid w:val="000B74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paragraph" w:styleId="Sinespaciado">
    <w:name w:val="No Spacing"/>
    <w:uiPriority w:val="1"/>
    <w:qFormat/>
    <w:rsid w:val="00D73A47"/>
    <w:pPr>
      <w:spacing w:after="0" w:line="240" w:lineRule="auto"/>
    </w:pPr>
  </w:style>
  <w:style w:type="paragraph" w:styleId="Textodeglobo">
    <w:name w:val="Balloon Text"/>
    <w:basedOn w:val="Normal"/>
    <w:link w:val="TextodegloboCar"/>
    <w:uiPriority w:val="99"/>
    <w:semiHidden/>
    <w:unhideWhenUsed/>
    <w:rsid w:val="001E1E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1E5A"/>
    <w:rPr>
      <w:rFonts w:ascii="Segoe UI" w:hAnsi="Segoe UI" w:cs="Segoe UI"/>
      <w:sz w:val="18"/>
      <w:szCs w:val="18"/>
    </w:rPr>
  </w:style>
  <w:style w:type="paragraph" w:styleId="Prrafodelista">
    <w:name w:val="List Paragraph"/>
    <w:basedOn w:val="Normal"/>
    <w:uiPriority w:val="34"/>
    <w:qFormat/>
    <w:rsid w:val="00FF0E3E"/>
    <w:pPr>
      <w:ind w:left="720"/>
      <w:contextualSpacing/>
    </w:pPr>
  </w:style>
  <w:style w:type="table" w:styleId="Tablaconcuadrcula">
    <w:name w:val="Table Grid"/>
    <w:basedOn w:val="Tablanormal"/>
    <w:uiPriority w:val="39"/>
    <w:rsid w:val="00FF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F0747"/>
    <w:rPr>
      <w:color w:val="0563C1" w:themeColor="hyperlink"/>
      <w:u w:val="single"/>
    </w:rPr>
  </w:style>
  <w:style w:type="character" w:customStyle="1" w:styleId="Mencinsinresolver1">
    <w:name w:val="Mención sin resolver1"/>
    <w:basedOn w:val="Fuentedeprrafopredeter"/>
    <w:uiPriority w:val="99"/>
    <w:semiHidden/>
    <w:unhideWhenUsed/>
    <w:rsid w:val="00647B3A"/>
    <w:rPr>
      <w:color w:val="605E5C"/>
      <w:shd w:val="clear" w:color="auto" w:fill="E1DFDD"/>
    </w:rPr>
  </w:style>
  <w:style w:type="character" w:customStyle="1" w:styleId="Ttulo1Car">
    <w:name w:val="Título 1 Car"/>
    <w:basedOn w:val="Fuentedeprrafopredeter"/>
    <w:link w:val="Ttulo1"/>
    <w:uiPriority w:val="9"/>
    <w:rsid w:val="00C41B51"/>
    <w:rPr>
      <w:rFonts w:ascii="Aptos Display" w:eastAsia="Times New Roman" w:hAnsi="Aptos Display" w:cs="Times New Roman"/>
      <w:color w:val="0F4761"/>
      <w:sz w:val="32"/>
      <w:szCs w:val="32"/>
      <w:lang w:val="es-ES"/>
    </w:rPr>
  </w:style>
  <w:style w:type="character" w:customStyle="1" w:styleId="Ttulo2Car">
    <w:name w:val="Título 2 Car"/>
    <w:basedOn w:val="Fuentedeprrafopredeter"/>
    <w:link w:val="Ttulo2"/>
    <w:uiPriority w:val="9"/>
    <w:rsid w:val="000B7423"/>
    <w:rPr>
      <w:rFonts w:asciiTheme="majorHAnsi" w:eastAsiaTheme="majorEastAsia" w:hAnsiTheme="majorHAnsi" w:cstheme="majorBidi"/>
      <w:color w:val="2E74B5" w:themeColor="accent1" w:themeShade="BF"/>
      <w:sz w:val="26"/>
      <w:szCs w:val="26"/>
    </w:rPr>
  </w:style>
  <w:style w:type="character" w:styleId="Mencinsinresolver">
    <w:name w:val="Unresolved Mention"/>
    <w:basedOn w:val="Fuentedeprrafopredeter"/>
    <w:uiPriority w:val="99"/>
    <w:semiHidden/>
    <w:unhideWhenUsed/>
    <w:rsid w:val="000B7423"/>
    <w:rPr>
      <w:color w:val="605E5C"/>
      <w:shd w:val="clear" w:color="auto" w:fill="E1DFDD"/>
    </w:rPr>
  </w:style>
  <w:style w:type="paragraph" w:customStyle="1" w:styleId="Default">
    <w:name w:val="Default"/>
    <w:rsid w:val="0010589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432348">
      <w:bodyDiv w:val="1"/>
      <w:marLeft w:val="0"/>
      <w:marRight w:val="0"/>
      <w:marTop w:val="0"/>
      <w:marBottom w:val="0"/>
      <w:divBdr>
        <w:top w:val="none" w:sz="0" w:space="0" w:color="auto"/>
        <w:left w:val="none" w:sz="0" w:space="0" w:color="auto"/>
        <w:bottom w:val="none" w:sz="0" w:space="0" w:color="auto"/>
        <w:right w:val="none" w:sz="0" w:space="0" w:color="auto"/>
      </w:divBdr>
    </w:div>
    <w:div w:id="1436291756">
      <w:bodyDiv w:val="1"/>
      <w:marLeft w:val="0"/>
      <w:marRight w:val="0"/>
      <w:marTop w:val="0"/>
      <w:marBottom w:val="0"/>
      <w:divBdr>
        <w:top w:val="none" w:sz="0" w:space="0" w:color="auto"/>
        <w:left w:val="none" w:sz="0" w:space="0" w:color="auto"/>
        <w:bottom w:val="none" w:sz="0" w:space="0" w:color="auto"/>
        <w:right w:val="none" w:sz="0" w:space="0" w:color="auto"/>
      </w:divBdr>
    </w:div>
    <w:div w:id="1785612376">
      <w:bodyDiv w:val="1"/>
      <w:marLeft w:val="0"/>
      <w:marRight w:val="0"/>
      <w:marTop w:val="0"/>
      <w:marBottom w:val="0"/>
      <w:divBdr>
        <w:top w:val="none" w:sz="0" w:space="0" w:color="auto"/>
        <w:left w:val="none" w:sz="0" w:space="0" w:color="auto"/>
        <w:bottom w:val="none" w:sz="0" w:space="0" w:color="auto"/>
        <w:right w:val="none" w:sz="0" w:space="0" w:color="auto"/>
      </w:divBdr>
    </w:div>
    <w:div w:id="188128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anticorrupcion@itagui.gov.c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lananticorrupcion@itagui.gov.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8D19D-5077-49E2-8F88-0B906042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2155</TotalTime>
  <Pages>10</Pages>
  <Words>2668</Words>
  <Characters>14677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Eliana Rúa Guisao</cp:lastModifiedBy>
  <cp:revision>112</cp:revision>
  <cp:lastPrinted>2024-06-27T19:48:00Z</cp:lastPrinted>
  <dcterms:created xsi:type="dcterms:W3CDTF">2016-01-05T17:35:00Z</dcterms:created>
  <dcterms:modified xsi:type="dcterms:W3CDTF">2025-01-31T19:47:00Z</dcterms:modified>
</cp:coreProperties>
</file>